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东昌街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本报告由“总体情况”“主动公开政府信息情况”“收到和处理政府信息公开申请情况”“政府信息公开行政复议、行政诉讼情况”“存在的主要问题及改进情况”“其他需要报告的事项”六个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部分组成。所列数据截止日期为2020年12月25日,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电子版可在通化市东昌区东昌街网站政府信息公开专栏下载(http://xxgk.dc.gov.cn/xzzf6/dcb/xbxxgkml_14581/)。如对本年度报告有任何疑问，请与东昌区东昌街道办事处联系（地址：通化市东昌区清真路5号；邮编：134001；电话：0435-3916256；传真：0435-3916256）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总体情况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2020年，我街认真贯彻落实《中华人民共和国政府信息公开条例 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区政数局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统一部署，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街道高度重视，精心组织街道便民服务中心标准化、规范化工作，细化工作，压实责任，深入推进，打造便民、利民和为民服务体系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，切实保障人民群众的知情权、参与权、监督权和表达权。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完善制度建设。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根据《吉林省人民政府办公厅关于认真贯彻落实&lt;中华人民共和国政府信息公开条例&gt;有关工作的通知》及东昌区政府信息公开工作要求，东昌街进一步完善政府信息公开、服务承诺、否决事项、容缺受理、限时办结、一窗受理、一次性告之、责任追究等相关制度，并制度上墙，做到有制可依有章可循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强化队伍建设，明确工作人员。为确保政务公开工作人员有承担，街道、社区政务工作有专人负责，加强理论和业务学习，准确把握上级政策精神，把工作抓实落细。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优化政务环境。不断优化“互联网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+社区”平台，定期在政务信息公开平台公布最新的行政权力清单、公开档案目录、公共服务事项办理及其操作规范和流程图，自觉接受群众监督。梳理业务清单充分发挥网上政务大厅查阅、咨询、投诉、预审、办理等功能，促进政务服务规范运作，实现政务服务“线上线下，同步运行”。对下放的事项协同有关部门做好承接，制定完善服务指南，简化审批手续和申报材料，压缩办结时限，加强事中、事后监管，为推动高质量、跨越发展营造良好的政务环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完善便民服务大厅，推进办事服务公开标准化和信息获取便利化。街道、社区便民服务中心和服务点公开办事服务事项清单、办事指南、办事流程、政策咨询服务、办工时间；设立监督举报电话和举报箱；提供温馨服务事项：设置休息座椅、饮水机、老花镜、纸、笔、电脑等便民服务设施，用微笑服务提高服务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简化办事流程。严格按照“放管服”改革工作要求，取消、下放行政审批事项，构建街道统一的政务服务网络系统，推行“一次不跑”网上办、“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最多跑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一次”马上办、容缺后补改革、政务服务“减证便民”、实行统一清单管理等多项便民措施。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开展“一窗受理、集成服务”，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街道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办事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服务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大厅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对涉及街道的公共服务事项办理流程进行梳理和优化，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开通便民服务热线，接受电话预约和咨询。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创新服务机制。推行“一窗口受理、一窗口审核、一窗口办结”的受理运行模式，通过整合公共服务资源统一进驻到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办事服务大厅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办理，开通了“计生、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民政、劳动”及综合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服务窗口平台，把各项便民服务事项全部纳入“一窗受理”办理，实现了“最多跑一次或一次不用跑”的便民服务，全面提升政务服务质量和水平。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7.加大宣传力度。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街道和各社区以制作宣传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条幅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形式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加强群众宣传，进一步提升《中华人民共和国政府信息公开条例》宣传效果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通过工作群、微信群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等学习形式，组织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街道和社区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工作人员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学习了解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条例内容，使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大家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知晓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政务公开的内容和程序，积极推进依法行政，提高行政效能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政务公开意识。</w:t>
      </w:r>
    </w:p>
    <w:p>
      <w:pPr>
        <w:widowControl/>
        <w:shd w:val="clear" w:color="auto" w:fill="FFFFFF"/>
        <w:spacing w:after="240"/>
        <w:ind w:firstLine="482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widowControl/>
        <w:shd w:val="clear" w:color="auto" w:fill="FFFFFF"/>
        <w:ind w:firstLine="482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widowControl/>
        <w:shd w:val="clear" w:color="auto" w:fill="FFFFFF"/>
        <w:ind w:firstLine="480" w:firstLineChars="200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是政务公开信息内容有待更加充实。二是公开信息公开的时间还需及时更新。三是政务公开信息的重点应该突出。为此，我街将采取以下改进措施：一是加大服务意识，确保政务信息公开内容充实，公开重点更加突出，公开时间更新更加及时、准确。二是不断提高工作人员的综合素质。进一步明确思路，提高业务技能，以适应新时期工作的需要，助推政务公开各项工作向纵深落实。</w:t>
      </w:r>
    </w:p>
    <w:p>
      <w:pPr>
        <w:widowControl/>
        <w:numPr>
          <w:ilvl w:val="0"/>
          <w:numId w:val="2"/>
        </w:numPr>
        <w:shd w:val="clear" w:color="auto" w:fill="FFFFFF"/>
        <w:ind w:left="60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无。</w:t>
      </w:r>
    </w:p>
    <w:p>
      <w:pPr>
        <w:widowControl/>
        <w:numPr>
          <w:ilvl w:val="0"/>
          <w:numId w:val="0"/>
        </w:numPr>
        <w:shd w:val="clear" w:color="auto" w:fill="FFFFFF"/>
        <w:ind w:left="600" w:leftChars="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ind w:left="600" w:leftChars="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ind w:left="600" w:leftChars="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ind w:left="600" w:leftChars="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ind w:left="600" w:leftChars="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482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东昌街道办事处</w:t>
      </w:r>
    </w:p>
    <w:p>
      <w:pPr>
        <w:widowControl/>
        <w:shd w:val="clear" w:color="auto" w:fill="FFFFFF"/>
        <w:ind w:firstLine="480" w:firstLineChars="200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2020年12月29日</w:t>
      </w:r>
    </w:p>
    <w:p>
      <w:pPr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5CE07"/>
    <w:multiLevelType w:val="singleLevel"/>
    <w:tmpl w:val="A225CE07"/>
    <w:lvl w:ilvl="0" w:tentative="0">
      <w:start w:val="6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D0B19B4E"/>
    <w:multiLevelType w:val="singleLevel"/>
    <w:tmpl w:val="D0B19B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GU1YmQ1N2UxZDNkNWIwMDc5MDIyMTYyYmZkNzIifQ=="/>
  </w:docVars>
  <w:rsids>
    <w:rsidRoot w:val="144B5FC9"/>
    <w:rsid w:val="08D90B91"/>
    <w:rsid w:val="09E92F75"/>
    <w:rsid w:val="10EE44EE"/>
    <w:rsid w:val="1CE81061"/>
    <w:rsid w:val="1E512C52"/>
    <w:rsid w:val="1F19334C"/>
    <w:rsid w:val="1FB602D1"/>
    <w:rsid w:val="212B0F4D"/>
    <w:rsid w:val="224170A0"/>
    <w:rsid w:val="26126AAF"/>
    <w:rsid w:val="26F46747"/>
    <w:rsid w:val="2B606EC5"/>
    <w:rsid w:val="2DAA2886"/>
    <w:rsid w:val="35F66A8A"/>
    <w:rsid w:val="3AA86DB2"/>
    <w:rsid w:val="3AF30679"/>
    <w:rsid w:val="3CEE5B80"/>
    <w:rsid w:val="409C73EB"/>
    <w:rsid w:val="412C59FE"/>
    <w:rsid w:val="41A77DC2"/>
    <w:rsid w:val="41C345D9"/>
    <w:rsid w:val="472F1AEE"/>
    <w:rsid w:val="490D0F30"/>
    <w:rsid w:val="4A247BB8"/>
    <w:rsid w:val="4E396F4C"/>
    <w:rsid w:val="518611F7"/>
    <w:rsid w:val="51E335CB"/>
    <w:rsid w:val="53E27C49"/>
    <w:rsid w:val="57582718"/>
    <w:rsid w:val="57F31C57"/>
    <w:rsid w:val="5D7914AF"/>
    <w:rsid w:val="5F54043C"/>
    <w:rsid w:val="629669EA"/>
    <w:rsid w:val="642768B3"/>
    <w:rsid w:val="643F551C"/>
    <w:rsid w:val="667514EA"/>
    <w:rsid w:val="674B42D7"/>
    <w:rsid w:val="69553EC7"/>
    <w:rsid w:val="6B5C0CED"/>
    <w:rsid w:val="6CD45F15"/>
    <w:rsid w:val="70056A3E"/>
    <w:rsid w:val="72A05403"/>
    <w:rsid w:val="75222FF2"/>
    <w:rsid w:val="7C462A71"/>
    <w:rsid w:val="7E20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2475</Words>
  <Characters>2597</Characters>
  <Lines>0</Lines>
  <Paragraphs>0</Paragraphs>
  <TotalTime>1</TotalTime>
  <ScaleCrop>false</ScaleCrop>
  <LinksUpToDate>false</LinksUpToDate>
  <CharactersWithSpaces>2857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2020-11-09T08:35:00Z</dcterms:created>
  <dc:creator>欧文</dc:creator>
  <cp:lastModifiedBy>Administrator</cp:lastModifiedBy>
  <cp:lastPrinted>2021-01-29T11:42:00Z</cp:lastPrinted>
  <dcterms:modified xsi:type="dcterms:W3CDTF">2024-04-19T05:55:52Z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327696680_btnclosed</vt:lpwstr>
  </property>
  <property fmtid="{D5CDD505-2E9C-101B-9397-08002B2CF9AE}" pid="4" name="ICV">
    <vt:lpwstr>B992091FFBEB47BE8CE0BCA2779601D4</vt:lpwstr>
  </property>
</Properties>
</file>