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A0571">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color w:val="auto"/>
          <w:sz w:val="44"/>
          <w:szCs w:val="44"/>
          <w:lang w:eastAsia="zh-CN"/>
        </w:rPr>
      </w:pPr>
      <w:bookmarkStart w:id="0" w:name="_GoBack"/>
      <w:bookmarkEnd w:id="0"/>
      <w:r>
        <w:rPr>
          <w:rFonts w:hint="default" w:ascii="Times New Roman" w:hAnsi="Times New Roman" w:eastAsia="方正小标宋简体" w:cs="Times New Roman"/>
          <w:color w:val="auto"/>
          <w:sz w:val="44"/>
          <w:szCs w:val="44"/>
          <w:lang w:val="en-US" w:eastAsia="zh-CN"/>
        </w:rPr>
        <w:t>东昌</w:t>
      </w:r>
      <w:r>
        <w:rPr>
          <w:rFonts w:hint="default" w:ascii="Times New Roman" w:hAnsi="Times New Roman" w:eastAsia="方正小标宋简体" w:cs="Times New Roman"/>
          <w:color w:val="auto"/>
          <w:sz w:val="44"/>
          <w:szCs w:val="44"/>
          <w:lang w:eastAsia="zh-CN"/>
        </w:rPr>
        <w:t>区政数局</w:t>
      </w:r>
    </w:p>
    <w:p w14:paraId="2DB1CACA">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大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2025</w:t>
      </w:r>
      <w:r>
        <w:rPr>
          <w:rFonts w:hint="default" w:ascii="Times New Roman" w:hAnsi="Times New Roman" w:eastAsia="方正小标宋简体" w:cs="Times New Roman"/>
          <w:color w:val="auto"/>
          <w:sz w:val="44"/>
          <w:szCs w:val="44"/>
        </w:rPr>
        <w:t>年法治政府建设报告</w:t>
      </w:r>
    </w:p>
    <w:p w14:paraId="54D77F4B">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sz w:val="34"/>
          <w:szCs w:val="34"/>
        </w:rPr>
      </w:pPr>
    </w:p>
    <w:p w14:paraId="06B9714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区委、区政府：</w:t>
      </w:r>
    </w:p>
    <w:p w14:paraId="43D3823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1F2329"/>
          <w:spacing w:val="0"/>
          <w:kern w:val="0"/>
          <w:sz w:val="32"/>
          <w:szCs w:val="32"/>
          <w:shd w:val="clear" w:color="auto" w:fill="FFFFFF"/>
          <w:lang w:val="en-US" w:eastAsia="zh-CN" w:bidi="ar"/>
        </w:rPr>
        <w:t>2025年，区政数局始终以习近平新时代中国特色社会主义思想为根本遵循，深入贯彻党的二十大和二十届历次全会精神，深入学习贯彻习近平法治思想，扎实推进法治政府建设各项任务。聚焦法治政府与数字政府深度融合核心目标，以数字赋能为关键抓手，持续深化政务服务改革，优化“高效办成一件事”集成服务模式，着力以法治为引领，优化营商环境。通过强化政务数据共享、流程再造与技术创新，全面提升政府治理体系和治理能力现代化水平，为区域法治政府建设注入强劲政数动能。现将有关工作情况汇报如下：</w:t>
      </w:r>
    </w:p>
    <w:p w14:paraId="571ACA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val="en-US" w:eastAsia="zh-CN"/>
        </w:rPr>
        <w:t>2025年度推进法治政府建设的</w:t>
      </w:r>
      <w:r>
        <w:rPr>
          <w:rFonts w:hint="default" w:ascii="Times New Roman" w:hAnsi="Times New Roman" w:eastAsia="黑体" w:cs="Times New Roman"/>
          <w:color w:val="auto"/>
          <w:sz w:val="32"/>
          <w:szCs w:val="32"/>
          <w:lang w:eastAsia="zh-CN"/>
        </w:rPr>
        <w:t>主要举措和成效</w:t>
      </w:r>
    </w:p>
    <w:p w14:paraId="6ABDBCA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rPr>
      </w:pPr>
      <w:r>
        <w:rPr>
          <w:rFonts w:hint="default" w:ascii="Times New Roman" w:hAnsi="Times New Roman" w:eastAsia="楷体_GB2312" w:cs="Times New Roman"/>
          <w:b w:val="0"/>
          <w:bCs w:val="0"/>
          <w:color w:val="auto"/>
          <w:sz w:val="32"/>
          <w:szCs w:val="32"/>
        </w:rPr>
        <w:t>（一）</w:t>
      </w:r>
      <w:r>
        <w:rPr>
          <w:rFonts w:hint="default" w:ascii="Times New Roman" w:hAnsi="Times New Roman" w:eastAsia="楷体_GB2312" w:cs="Times New Roman"/>
          <w:sz w:val="32"/>
          <w:szCs w:val="32"/>
          <w:highlight w:val="none"/>
          <w:lang w:val="en-US" w:eastAsia="zh-CN"/>
        </w:rPr>
        <w:t>抓实理论武装与队伍建设，筑牢法治思想根基</w:t>
      </w:r>
    </w:p>
    <w:p w14:paraId="5EA05BC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lang w:val="en-US" w:eastAsia="zh-CN"/>
        </w:rPr>
        <w:t>以学促知，深化法治思想引领</w:t>
      </w:r>
      <w:r>
        <w:rPr>
          <w:rFonts w:hint="default" w:ascii="Times New Roman" w:hAnsi="Times New Roman" w:eastAsia="仿宋_GB2312" w:cs="Times New Roman"/>
          <w:sz w:val="32"/>
          <w:szCs w:val="32"/>
        </w:rPr>
        <w:t>。坚持以习近平新时代中国特色社会主义思想为指导，深入学习贯彻党的二十大和二十届</w:t>
      </w:r>
      <w:r>
        <w:rPr>
          <w:rFonts w:hint="default" w:ascii="Times New Roman" w:hAnsi="Times New Roman" w:eastAsia="仿宋_GB2312" w:cs="Times New Roman"/>
          <w:sz w:val="32"/>
          <w:szCs w:val="32"/>
          <w:lang w:val="en-US" w:eastAsia="zh-CN"/>
        </w:rPr>
        <w:t>历次</w:t>
      </w:r>
      <w:r>
        <w:rPr>
          <w:rFonts w:hint="default" w:ascii="Times New Roman" w:hAnsi="Times New Roman" w:eastAsia="仿宋_GB2312" w:cs="Times New Roman"/>
          <w:sz w:val="32"/>
          <w:szCs w:val="32"/>
        </w:rPr>
        <w:t>全会精神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认真贯彻落实</w:t>
      </w:r>
      <w:r>
        <w:rPr>
          <w:rFonts w:hint="default" w:ascii="Times New Roman" w:hAnsi="Times New Roman" w:eastAsia="仿宋_GB2312" w:cs="Times New Roman"/>
          <w:sz w:val="32"/>
          <w:szCs w:val="32"/>
          <w:lang w:eastAsia="zh-CN"/>
        </w:rPr>
        <w:t>党委政府</w:t>
      </w:r>
      <w:r>
        <w:rPr>
          <w:rFonts w:hint="default" w:ascii="Times New Roman" w:hAnsi="Times New Roman" w:eastAsia="仿宋_GB2312" w:cs="Times New Roman"/>
          <w:sz w:val="32"/>
          <w:szCs w:val="32"/>
        </w:rPr>
        <w:t>关于法治建设</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决策部署，</w:t>
      </w:r>
      <w:r>
        <w:rPr>
          <w:rFonts w:hint="default" w:ascii="Times New Roman" w:hAnsi="Times New Roman" w:eastAsia="仿宋_GB2312" w:cs="Times New Roman"/>
          <w:sz w:val="32"/>
          <w:szCs w:val="32"/>
          <w:lang w:val="en-US" w:eastAsia="zh-CN"/>
        </w:rPr>
        <w:t>召开局党组（扩大）会和理论中心组（扩大）</w:t>
      </w:r>
      <w:r>
        <w:rPr>
          <w:rFonts w:hint="default" w:ascii="Times New Roman" w:hAnsi="Times New Roman" w:eastAsia="仿宋_GB2312" w:cs="Times New Roman"/>
          <w:color w:val="auto"/>
          <w:sz w:val="32"/>
          <w:szCs w:val="32"/>
          <w:lang w:val="en-US" w:eastAsia="zh-CN"/>
        </w:rPr>
        <w:t>学习会议</w:t>
      </w:r>
      <w:r>
        <w:rPr>
          <w:rFonts w:hint="default" w:ascii="Times New Roman" w:hAnsi="Times New Roman" w:eastAsia="仿宋_GB2312" w:cs="Times New Roman"/>
          <w:sz w:val="32"/>
          <w:szCs w:val="32"/>
          <w:lang w:val="en-US" w:eastAsia="zh-CN"/>
        </w:rPr>
        <w:t>6次，扎实开展公务员“每月一法”学习。将习近平法治思想等内容纳入《2025年政治理论学习计划》，</w:t>
      </w:r>
      <w:r>
        <w:rPr>
          <w:rFonts w:hint="default" w:ascii="Times New Roman" w:hAnsi="Times New Roman" w:eastAsia="仿宋_GB2312" w:cs="Times New Roman"/>
          <w:color w:val="000000"/>
          <w:kern w:val="0"/>
          <w:sz w:val="32"/>
          <w:szCs w:val="32"/>
          <w:lang w:val="en-US" w:eastAsia="zh-CN" w:bidi="ar"/>
        </w:rPr>
        <w:t>坚持集中学习与自主学习相结合，利用每周五下午开展全体人员集中学习，深入贯彻习近平法治思想，持续推动广大干部深刻领会依法治国、依法行政思想，确保入脑入心、走深走实，</w:t>
      </w:r>
      <w:r>
        <w:rPr>
          <w:rFonts w:hint="default" w:ascii="Times New Roman" w:hAnsi="Times New Roman" w:eastAsia="仿宋_GB2312" w:cs="Times New Roman"/>
          <w:sz w:val="32"/>
          <w:szCs w:val="32"/>
          <w:lang w:val="en-US" w:eastAsia="zh-CN"/>
        </w:rPr>
        <w:t>扩大法治宣传覆盖面，结合重要时间节点，开展法治宣传教育活动。</w:t>
      </w:r>
      <w:r>
        <w:rPr>
          <w:rFonts w:hint="default" w:ascii="Times New Roman" w:hAnsi="Times New Roman" w:eastAsia="仿宋_GB2312" w:cs="Times New Roman"/>
          <w:b/>
          <w:bCs/>
          <w:sz w:val="32"/>
          <w:szCs w:val="32"/>
          <w:highlight w:val="none"/>
        </w:rPr>
        <w:t>二是</w:t>
      </w:r>
      <w:r>
        <w:rPr>
          <w:rFonts w:hint="default" w:ascii="Times New Roman" w:hAnsi="Times New Roman" w:eastAsia="仿宋_GB2312" w:cs="Times New Roman"/>
          <w:b w:val="0"/>
          <w:bCs w:val="0"/>
          <w:sz w:val="32"/>
          <w:szCs w:val="32"/>
          <w:highlight w:val="none"/>
          <w:lang w:val="en-US" w:eastAsia="zh-CN"/>
        </w:rPr>
        <w:t>加强法治建设，锻造队伍赋能政务融合</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sz w:val="32"/>
          <w:szCs w:val="32"/>
          <w:lang w:val="en-US" w:eastAsia="zh-CN"/>
        </w:rPr>
        <w:t>持续加强法治人才队伍专业化建设，聚焦年轻干部成长成才，通过参加法治专项培训，推动年轻干部提升素养，打造政治过硬、业务精湛、作风优良的高素质法治人才队伍，深化政务服务与法治建设深度融合。</w:t>
      </w:r>
    </w:p>
    <w:p w14:paraId="7997963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kern w:val="2"/>
          <w:sz w:val="32"/>
          <w:szCs w:val="32"/>
          <w:highlight w:val="none"/>
          <w:lang w:val="en-US" w:eastAsia="zh-CN" w:bidi="ar-SA"/>
        </w:rPr>
        <w:t>锚定法治服务导向，推进政务服务与接诉即办双提升</w:t>
      </w:r>
    </w:p>
    <w:p w14:paraId="552BD55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持续推动政务服务提质增效。围绕政务服务的“只进一门”，组织25个部门梳理进厅办理政务服务事项，公布《东昌区政务服务中心进驻事项负面清单》。通过委托收件、标准化指南和全员培训，实现“一站式”服务与“最多跑一次”。规范行政审批中介行为，编制48项《东昌区行政审批中介服务事项清单》并在政府网站公示。</w:t>
      </w:r>
      <w:r>
        <w:rPr>
          <w:rFonts w:hint="default" w:ascii="Times New Roman" w:hAnsi="Times New Roman" w:eastAsia="仿宋_GB2312" w:cs="Times New Roman"/>
          <w:i w:val="0"/>
          <w:iCs w:val="0"/>
          <w:caps w:val="0"/>
          <w:color w:val="1F2329"/>
          <w:spacing w:val="0"/>
          <w:kern w:val="0"/>
          <w:sz w:val="32"/>
          <w:szCs w:val="32"/>
          <w:shd w:val="clear" w:color="auto" w:fill="FFFFFF"/>
          <w:lang w:val="en-US" w:eastAsia="zh-CN" w:bidi="ar"/>
        </w:rPr>
        <w:t>建立清单化管理与常态化推进工作机制，通过深化跨部门业务协同、政务服务流程再造，实现审批承诺时限缩短75%、申请材料精简40%、群众和企业跑动的次数减少77%。</w:t>
      </w:r>
      <w:r>
        <w:rPr>
          <w:rFonts w:hint="default" w:ascii="Times New Roman" w:hAnsi="Times New Roman" w:eastAsia="仿宋_GB2312" w:cs="Times New Roman"/>
          <w:sz w:val="32"/>
          <w:szCs w:val="32"/>
          <w:lang w:val="en-US" w:eastAsia="zh-CN"/>
        </w:rPr>
        <w:t>今年新推出5个东昌区特色“一件事”。目前，落实57个“一件事”，办件量达</w:t>
      </w:r>
      <w:r>
        <w:rPr>
          <w:rFonts w:hint="eastAsia" w:ascii="Times New Roman" w:hAnsi="Times New Roman" w:eastAsia="仿宋_GB2312" w:cs="Times New Roman"/>
          <w:sz w:val="32"/>
          <w:szCs w:val="32"/>
          <w:lang w:val="en-US" w:eastAsia="zh-CN"/>
        </w:rPr>
        <w:t>1.9万余</w:t>
      </w:r>
      <w:r>
        <w:rPr>
          <w:rFonts w:hint="default" w:ascii="Times New Roman" w:hAnsi="Times New Roman" w:eastAsia="仿宋_GB2312" w:cs="Times New Roman"/>
          <w:sz w:val="32"/>
          <w:szCs w:val="32"/>
          <w:lang w:val="en-US" w:eastAsia="zh-CN"/>
        </w:rPr>
        <w:t>件。创新开展“二三四”主题活动</w:t>
      </w:r>
      <w:r>
        <w:rPr>
          <w:rFonts w:hint="default"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sz w:val="32"/>
          <w:szCs w:val="32"/>
          <w:lang w:val="en-US" w:eastAsia="zh-CN"/>
        </w:rPr>
        <w:t>提高基层窗口服务群众能力专项行动，组织业务培训，提升基层窗口服务质量。</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深化接诉即办改革。严格落实《东昌区民生难题接诉即办三级处理机制》，制定《东昌区首接负责制》，建立周、月报常态化监测机制，围绕群众急难愁盼问题，形成《东昌区民生诉求分析报告》发放至全区各单位，为政府决策和社会治理提供有力的支撑。协调解决“老旧小区超质保”“社会事务剥离”等疑难诉求事项，提升12345热线服务质效。截至目前，完成诉求工单1.9万余件，签收率、办结率均达100%。</w:t>
      </w:r>
    </w:p>
    <w:p w14:paraId="176A55E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rPr>
        <w:t>（三）</w:t>
      </w:r>
      <w:r>
        <w:rPr>
          <w:rFonts w:hint="default" w:ascii="Times New Roman" w:hAnsi="Times New Roman" w:eastAsia="楷体_GB2312" w:cs="Times New Roman"/>
          <w:sz w:val="32"/>
          <w:szCs w:val="32"/>
          <w:highlight w:val="none"/>
          <w:lang w:val="en-US" w:eastAsia="zh-CN"/>
        </w:rPr>
        <w:t>多维发力优化服务，法治赋能提升营商环境</w:t>
      </w:r>
    </w:p>
    <w:p w14:paraId="123C112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一是</w:t>
      </w:r>
      <w:r>
        <w:rPr>
          <w:rFonts w:hint="default" w:ascii="Times New Roman" w:hAnsi="Times New Roman" w:eastAsia="仿宋_GB2312" w:cs="Times New Roman"/>
          <w:sz w:val="32"/>
          <w:szCs w:val="32"/>
          <w:highlight w:val="none"/>
          <w:lang w:val="en-US" w:eastAsia="zh-CN"/>
        </w:rPr>
        <w:t>全面落实省、市优化营商环境工作精神。出台《东昌区持续优化营商环境2025年重点工作推进表》，从涉企服务效能、保护企业权益等方面落实17大项任务改革清单，20个责任部门协同推进营商环境工作。</w:t>
      </w:r>
      <w:r>
        <w:rPr>
          <w:rFonts w:hint="default" w:ascii="Times New Roman" w:hAnsi="Times New Roman" w:eastAsia="仿宋_GB2312" w:cs="Times New Roman"/>
          <w:b/>
          <w:bCs/>
          <w:sz w:val="32"/>
          <w:szCs w:val="32"/>
          <w:highlight w:val="none"/>
          <w:lang w:val="en-US" w:eastAsia="zh-CN"/>
        </w:rPr>
        <w:t>二是</w:t>
      </w:r>
      <w:r>
        <w:rPr>
          <w:rFonts w:hint="default" w:ascii="Times New Roman" w:hAnsi="Times New Roman" w:eastAsia="仿宋_GB2312" w:cs="Times New Roman"/>
          <w:sz w:val="32"/>
          <w:szCs w:val="32"/>
          <w:highlight w:val="none"/>
          <w:lang w:val="en-US" w:eastAsia="zh-CN"/>
        </w:rPr>
        <w:t>加强营商环境监督员队伍建设。聘请42名监督员、设置15家监测点，通过培训、</w:t>
      </w:r>
      <w:r>
        <w:rPr>
          <w:rFonts w:hint="default" w:ascii="Times New Roman" w:hAnsi="Times New Roman" w:eastAsia="仿宋_GB2312" w:cs="Times New Roman"/>
          <w:sz w:val="32"/>
          <w:szCs w:val="32"/>
          <w:lang w:val="en-US" w:eastAsia="zh-CN"/>
        </w:rPr>
        <w:t>调研、座谈等形式，走访企业、暗访窗口，收集问题线索和意见，找准影响营商环境优化的“中梗阻”，持续护航营商环境。</w:t>
      </w:r>
      <w:r>
        <w:rPr>
          <w:rFonts w:hint="default" w:ascii="Times New Roman" w:hAnsi="Times New Roman" w:eastAsia="仿宋_GB2312" w:cs="Times New Roman"/>
          <w:b/>
          <w:bCs/>
          <w:sz w:val="32"/>
          <w:szCs w:val="32"/>
          <w:highlight w:val="none"/>
          <w:lang w:val="en-US" w:eastAsia="zh-CN"/>
        </w:rPr>
        <w:t>三是</w:t>
      </w:r>
      <w:r>
        <w:rPr>
          <w:rFonts w:hint="default" w:ascii="Times New Roman" w:hAnsi="Times New Roman" w:eastAsia="仿宋_GB2312" w:cs="Times New Roman"/>
          <w:sz w:val="32"/>
          <w:szCs w:val="32"/>
          <w:highlight w:val="none"/>
          <w:lang w:val="en-US" w:eastAsia="zh-CN"/>
        </w:rPr>
        <w:t>加大信用信息归集力度。推进社会信用建设，定期归集各部门信用信息，本年度上传公示信息</w:t>
      </w:r>
      <w:r>
        <w:rPr>
          <w:rFonts w:hint="eastAsia" w:ascii="Times New Roman" w:hAnsi="Times New Roman" w:eastAsia="仿宋_GB2312" w:cs="Times New Roman"/>
          <w:sz w:val="32"/>
          <w:szCs w:val="32"/>
          <w:highlight w:val="none"/>
          <w:lang w:val="en-US" w:eastAsia="zh-CN"/>
        </w:rPr>
        <w:t>32325</w:t>
      </w:r>
      <w:r>
        <w:rPr>
          <w:rFonts w:hint="default" w:ascii="Times New Roman" w:hAnsi="Times New Roman" w:eastAsia="仿宋_GB2312" w:cs="Times New Roman"/>
          <w:sz w:val="32"/>
          <w:szCs w:val="32"/>
          <w:highlight w:val="none"/>
          <w:lang w:val="en-US" w:eastAsia="zh-CN"/>
        </w:rPr>
        <w:t>条。深化信用替代证明改革，确保信用信息及时归集共享，已提供信用报告86份。引导企业纠正失信行为，协助修复信用记录70条。推动在更多行政许可事项中应用信用承诺，组织签订6548份信用承诺书并公开，为社会信用体系建设打好基础。</w:t>
      </w:r>
      <w:r>
        <w:rPr>
          <w:rFonts w:hint="default" w:ascii="Times New Roman" w:hAnsi="Times New Roman" w:eastAsia="仿宋_GB2312" w:cs="Times New Roman"/>
          <w:b/>
          <w:bCs/>
          <w:sz w:val="32"/>
          <w:szCs w:val="32"/>
          <w:highlight w:val="none"/>
          <w:lang w:val="en-US" w:eastAsia="zh-CN"/>
        </w:rPr>
        <w:t>四是</w:t>
      </w:r>
      <w:r>
        <w:rPr>
          <w:rFonts w:hint="default" w:ascii="Times New Roman" w:hAnsi="Times New Roman" w:eastAsia="仿宋_GB2312" w:cs="Times New Roman"/>
          <w:b w:val="0"/>
          <w:bCs w:val="0"/>
          <w:color w:val="auto"/>
          <w:sz w:val="32"/>
          <w:szCs w:val="32"/>
          <w:lang w:val="en-US" w:eastAsia="zh-CN"/>
        </w:rPr>
        <w:t>深化行政检</w:t>
      </w:r>
      <w:r>
        <w:rPr>
          <w:rFonts w:hint="default" w:ascii="Times New Roman" w:hAnsi="Times New Roman" w:eastAsia="仿宋_GB2312" w:cs="Times New Roman"/>
          <w:b w:val="0"/>
          <w:bCs w:val="0"/>
          <w:snapToGrid w:val="0"/>
          <w:color w:val="auto"/>
          <w:kern w:val="21"/>
          <w:sz w:val="32"/>
          <w:szCs w:val="32"/>
          <w:lang w:val="en-US" w:eastAsia="zh-CN" w:bidi="ar-SA"/>
        </w:rPr>
        <w:t>查执法智能备案改革。全面实施“事前报备、现场亮证、扫码迎检、事后评价”行政检查执法监督管理机制，最大限度减少对监管对象的无效扰动。截至</w:t>
      </w:r>
      <w:r>
        <w:rPr>
          <w:rFonts w:hint="default" w:ascii="Times New Roman" w:hAnsi="Times New Roman" w:eastAsia="仿宋_GB2312" w:cs="Times New Roman"/>
          <w:b w:val="0"/>
          <w:bCs w:val="0"/>
          <w:color w:val="auto"/>
          <w:sz w:val="32"/>
          <w:szCs w:val="32"/>
          <w:lang w:val="en-US" w:eastAsia="zh-CN"/>
        </w:rPr>
        <w:t>目前，</w:t>
      </w:r>
      <w:r>
        <w:rPr>
          <w:rFonts w:hint="default" w:ascii="Times New Roman" w:hAnsi="Times New Roman" w:eastAsia="仿宋_GB2312" w:cs="Times New Roman"/>
          <w:b w:val="0"/>
          <w:bCs w:val="0"/>
          <w:smallCaps/>
          <w:color w:val="auto"/>
          <w:kern w:val="2"/>
          <w:sz w:val="32"/>
          <w:szCs w:val="32"/>
          <w:lang w:val="en-US" w:eastAsia="zh-CN" w:bidi="ar-SA"/>
        </w:rPr>
        <w:t>15</w:t>
      </w:r>
      <w:r>
        <w:rPr>
          <w:rFonts w:hint="default" w:ascii="Times New Roman" w:hAnsi="Times New Roman" w:eastAsia="仿宋_GB2312" w:cs="Times New Roman"/>
          <w:b w:val="0"/>
          <w:bCs w:val="0"/>
          <w:color w:val="auto"/>
          <w:sz w:val="32"/>
          <w:szCs w:val="32"/>
          <w:lang w:val="en-US" w:eastAsia="zh-CN"/>
        </w:rPr>
        <w:t>个行政监管部门发布了</w:t>
      </w:r>
      <w:r>
        <w:rPr>
          <w:rFonts w:hint="default" w:ascii="Times New Roman" w:hAnsi="Times New Roman" w:eastAsia="仿宋_GB2312" w:cs="Times New Roman"/>
          <w:b w:val="0"/>
          <w:bCs w:val="0"/>
          <w:smallCaps/>
          <w:color w:val="auto"/>
          <w:kern w:val="2"/>
          <w:sz w:val="32"/>
          <w:szCs w:val="32"/>
          <w:lang w:val="en-US" w:eastAsia="zh-CN" w:bidi="ar-SA"/>
        </w:rPr>
        <w:t>193</w:t>
      </w:r>
      <w:r>
        <w:rPr>
          <w:rFonts w:hint="default" w:ascii="Times New Roman" w:hAnsi="Times New Roman" w:eastAsia="仿宋_GB2312" w:cs="Times New Roman"/>
          <w:b w:val="0"/>
          <w:bCs w:val="0"/>
          <w:color w:val="auto"/>
          <w:sz w:val="32"/>
          <w:szCs w:val="32"/>
          <w:lang w:val="en-US" w:eastAsia="zh-CN"/>
        </w:rPr>
        <w:t>项行政检查执法事项，已备案的行政检查执法行为达</w:t>
      </w:r>
      <w:r>
        <w:rPr>
          <w:rFonts w:hint="eastAsia" w:ascii="Times New Roman" w:hAnsi="Times New Roman" w:eastAsia="仿宋_GB2312" w:cs="Times New Roman"/>
          <w:b w:val="0"/>
          <w:bCs w:val="0"/>
          <w:smallCaps/>
          <w:color w:val="auto"/>
          <w:kern w:val="2"/>
          <w:sz w:val="32"/>
          <w:szCs w:val="32"/>
          <w:lang w:val="en-US" w:eastAsia="zh-CN" w:bidi="ar-SA"/>
        </w:rPr>
        <w:t>1987</w:t>
      </w:r>
      <w:r>
        <w:rPr>
          <w:rFonts w:hint="default" w:ascii="Times New Roman" w:hAnsi="Times New Roman" w:eastAsia="仿宋_GB2312" w:cs="Times New Roman"/>
          <w:b w:val="0"/>
          <w:bCs w:val="0"/>
          <w:color w:val="auto"/>
          <w:sz w:val="32"/>
          <w:szCs w:val="32"/>
          <w:lang w:val="en-US" w:eastAsia="zh-CN"/>
        </w:rPr>
        <w:t>次。</w:t>
      </w:r>
    </w:p>
    <w:p w14:paraId="242D4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（四）</w:t>
      </w:r>
      <w:r>
        <w:rPr>
          <w:rFonts w:hint="eastAsia" w:ascii="Times New Roman" w:hAnsi="Times New Roman" w:eastAsia="楷体_GB2312" w:cs="Times New Roman"/>
          <w:b w:val="0"/>
          <w:bCs w:val="0"/>
          <w:color w:val="auto"/>
          <w:sz w:val="32"/>
          <w:szCs w:val="32"/>
          <w:highlight w:val="none"/>
          <w:lang w:val="en-US" w:eastAsia="zh-CN"/>
        </w:rPr>
        <w:t>智慧赋能政务服务，</w:t>
      </w:r>
      <w:r>
        <w:rPr>
          <w:rFonts w:hint="default" w:ascii="Times New Roman" w:hAnsi="Times New Roman" w:eastAsia="楷体_GB2312" w:cs="Times New Roman"/>
          <w:b w:val="0"/>
          <w:bCs w:val="0"/>
          <w:color w:val="auto"/>
          <w:sz w:val="32"/>
          <w:szCs w:val="32"/>
          <w:highlight w:val="none"/>
          <w:lang w:val="en-US" w:eastAsia="zh-CN"/>
        </w:rPr>
        <w:t>全面推进数字法治政府建设</w:t>
      </w:r>
    </w:p>
    <w:p w14:paraId="4321A15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spacing w:val="0"/>
          <w:sz w:val="32"/>
          <w:szCs w:val="32"/>
          <w:lang w:eastAsia="zh-CN"/>
        </w:rPr>
      </w:pPr>
      <w:r>
        <w:rPr>
          <w:rFonts w:hint="default" w:ascii="Times New Roman" w:hAnsi="Times New Roman" w:eastAsia="仿宋_GB2312" w:cs="Times New Roman"/>
          <w:b/>
          <w:bCs/>
          <w:sz w:val="32"/>
          <w:szCs w:val="32"/>
          <w:highlight w:val="none"/>
          <w:lang w:val="en-US" w:eastAsia="zh-CN"/>
        </w:rPr>
        <w:t>一是</w:t>
      </w:r>
      <w:r>
        <w:rPr>
          <w:rFonts w:hint="default" w:ascii="Times New Roman" w:hAnsi="Times New Roman" w:eastAsia="仿宋_GB2312" w:cs="Times New Roman"/>
          <w:b w:val="0"/>
          <w:bCs w:val="0"/>
          <w:sz w:val="32"/>
          <w:szCs w:val="32"/>
          <w:highlight w:val="none"/>
          <w:lang w:val="en-US" w:eastAsia="zh-CN"/>
        </w:rPr>
        <w:t>强化基础设施保障。</w:t>
      </w:r>
      <w:r>
        <w:rPr>
          <w:rFonts w:hint="default" w:ascii="Times New Roman" w:hAnsi="Times New Roman" w:eastAsia="仿宋_GB2312" w:cs="Times New Roman"/>
          <w:i w:val="0"/>
          <w:iCs w:val="0"/>
          <w:caps w:val="0"/>
          <w:spacing w:val="0"/>
          <w:sz w:val="32"/>
          <w:szCs w:val="32"/>
        </w:rPr>
        <w:t>全面优化升级政务外网专线接入模式，依法依规配置独立带宽与高稳定性网络架构，</w:t>
      </w:r>
      <w:r>
        <w:rPr>
          <w:rFonts w:hint="default" w:ascii="Times New Roman" w:hAnsi="Times New Roman" w:eastAsia="仿宋_GB2312" w:cs="Times New Roman"/>
          <w:i w:val="0"/>
          <w:iCs w:val="0"/>
          <w:caps w:val="0"/>
          <w:spacing w:val="0"/>
          <w:sz w:val="32"/>
          <w:szCs w:val="32"/>
          <w:lang w:eastAsia="zh-CN"/>
        </w:rPr>
        <w:t>并</w:t>
      </w:r>
      <w:r>
        <w:rPr>
          <w:rFonts w:hint="default" w:ascii="Times New Roman" w:hAnsi="Times New Roman" w:eastAsia="仿宋_GB2312" w:cs="Times New Roman"/>
          <w:i w:val="0"/>
          <w:iCs w:val="0"/>
          <w:caps w:val="0"/>
          <w:spacing w:val="0"/>
          <w:sz w:val="32"/>
          <w:szCs w:val="32"/>
        </w:rPr>
        <w:t>开通72个基层政务外网链路节点，实现电子政务外网全域合规覆盖。严格遵循政务服务标准化规范，积极推进乡镇（街道）便民服务中心“一网通办”自助服务区建设，配齐配强帮办代办专业队伍与关键服务设施，保障政务服务高效落地。</w:t>
      </w:r>
      <w:r>
        <w:rPr>
          <w:rFonts w:hint="default" w:ascii="Times New Roman" w:hAnsi="Times New Roman" w:eastAsia="仿宋_GB2312" w:cs="Times New Roman"/>
          <w:b/>
          <w:bCs/>
          <w:i w:val="0"/>
          <w:iCs w:val="0"/>
          <w:caps w:val="0"/>
          <w:spacing w:val="0"/>
          <w:sz w:val="32"/>
          <w:szCs w:val="32"/>
          <w:lang w:eastAsia="zh-CN"/>
        </w:rPr>
        <w:t>二是</w:t>
      </w:r>
      <w:r>
        <w:rPr>
          <w:rFonts w:hint="default" w:ascii="Times New Roman" w:hAnsi="Times New Roman" w:eastAsia="仿宋_GB2312" w:cs="Times New Roman"/>
          <w:b w:val="0"/>
          <w:bCs w:val="0"/>
          <w:sz w:val="32"/>
          <w:szCs w:val="32"/>
          <w:highlight w:val="none"/>
          <w:lang w:val="en-US" w:eastAsia="zh-CN"/>
        </w:rPr>
        <w:t>推动政务数据资源依法共享。</w:t>
      </w:r>
      <w:r>
        <w:rPr>
          <w:rFonts w:hint="default" w:ascii="Times New Roman" w:hAnsi="Times New Roman" w:eastAsia="仿宋_GB2312" w:cs="Times New Roman"/>
          <w:i w:val="0"/>
          <w:iCs w:val="0"/>
          <w:caps w:val="0"/>
          <w:spacing w:val="0"/>
          <w:sz w:val="32"/>
          <w:szCs w:val="32"/>
          <w:lang w:eastAsia="zh-CN"/>
        </w:rPr>
        <w:t>严格遵循</w:t>
      </w:r>
      <w:r>
        <w:rPr>
          <w:rFonts w:hint="default" w:ascii="Times New Roman" w:hAnsi="Times New Roman" w:eastAsia="仿宋_GB2312" w:cs="Times New Roman"/>
          <w:sz w:val="32"/>
          <w:szCs w:val="32"/>
          <w:highlight w:val="none"/>
          <w:lang w:val="en-US" w:eastAsia="zh-CN"/>
        </w:rPr>
        <w:t>《政务数据共享条例》，</w:t>
      </w:r>
      <w:r>
        <w:rPr>
          <w:rFonts w:hint="default" w:ascii="Times New Roman" w:hAnsi="Times New Roman" w:eastAsia="仿宋_GB2312" w:cs="Times New Roman"/>
          <w:i w:val="0"/>
          <w:iCs w:val="0"/>
          <w:caps w:val="0"/>
          <w:spacing w:val="0"/>
          <w:sz w:val="32"/>
          <w:szCs w:val="32"/>
        </w:rPr>
        <w:t>依法编制东昌区政务数据资源目录</w:t>
      </w:r>
      <w:r>
        <w:rPr>
          <w:rFonts w:hint="default" w:ascii="Times New Roman" w:hAnsi="Times New Roman" w:eastAsia="仿宋_GB2312" w:cs="Times New Roman"/>
          <w:i w:val="0"/>
          <w:iCs w:val="0"/>
          <w:caps w:val="0"/>
          <w:spacing w:val="0"/>
          <w:sz w:val="32"/>
          <w:szCs w:val="32"/>
          <w:lang w:eastAsia="zh-CN"/>
        </w:rPr>
        <w:t>。</w:t>
      </w:r>
      <w:r>
        <w:rPr>
          <w:rFonts w:hint="default" w:ascii="Times New Roman" w:hAnsi="Times New Roman" w:eastAsia="仿宋_GB2312" w:cs="Times New Roman"/>
          <w:sz w:val="32"/>
          <w:szCs w:val="32"/>
          <w:highlight w:val="none"/>
          <w:lang w:val="en-US" w:eastAsia="zh-CN"/>
        </w:rPr>
        <w:t>基于全省数据共享交换平台，组织协调64个部门参与共享数据录入工作，累计完成数据录入41万余条。</w:t>
      </w:r>
      <w:r>
        <w:rPr>
          <w:rFonts w:hint="default" w:ascii="Times New Roman" w:hAnsi="Times New Roman" w:eastAsia="仿宋_GB2312" w:cs="Times New Roman"/>
          <w:b/>
          <w:bCs/>
          <w:i w:val="0"/>
          <w:iCs w:val="0"/>
          <w:caps w:val="0"/>
          <w:spacing w:val="0"/>
          <w:sz w:val="32"/>
          <w:szCs w:val="32"/>
          <w:lang w:eastAsia="zh-CN"/>
        </w:rPr>
        <w:t>三是</w:t>
      </w:r>
      <w:r>
        <w:rPr>
          <w:rFonts w:hint="default" w:ascii="Times New Roman" w:hAnsi="Times New Roman" w:eastAsia="仿宋_GB2312" w:cs="Times New Roman"/>
          <w:b w:val="0"/>
          <w:bCs w:val="0"/>
          <w:i w:val="0"/>
          <w:iCs w:val="0"/>
          <w:caps w:val="0"/>
          <w:spacing w:val="0"/>
          <w:sz w:val="32"/>
          <w:szCs w:val="32"/>
        </w:rPr>
        <w:t>以法治为保障</w:t>
      </w:r>
      <w:r>
        <w:rPr>
          <w:rFonts w:hint="default" w:ascii="Times New Roman" w:hAnsi="Times New Roman" w:eastAsia="仿宋_GB2312" w:cs="Times New Roman"/>
          <w:b w:val="0"/>
          <w:bCs w:val="0"/>
          <w:i w:val="0"/>
          <w:iCs w:val="0"/>
          <w:caps w:val="0"/>
          <w:spacing w:val="0"/>
          <w:sz w:val="32"/>
          <w:szCs w:val="32"/>
          <w:lang w:eastAsia="zh-CN"/>
        </w:rPr>
        <w:t>，</w:t>
      </w:r>
      <w:r>
        <w:rPr>
          <w:rFonts w:hint="default" w:ascii="Times New Roman" w:hAnsi="Times New Roman" w:eastAsia="仿宋_GB2312" w:cs="Times New Roman"/>
          <w:b w:val="0"/>
          <w:bCs w:val="0"/>
          <w:sz w:val="32"/>
          <w:szCs w:val="32"/>
          <w:highlight w:val="none"/>
          <w:lang w:val="en-US" w:eastAsia="zh-CN"/>
        </w:rPr>
        <w:t>提升政务服务网办能力</w:t>
      </w:r>
      <w:r>
        <w:rPr>
          <w:rFonts w:hint="default" w:ascii="Times New Roman" w:hAnsi="Times New Roman" w:eastAsia="仿宋_GB2312" w:cs="Times New Roman"/>
          <w:i w:val="0"/>
          <w:iCs w:val="0"/>
          <w:caps w:val="0"/>
          <w:spacing w:val="0"/>
          <w:sz w:val="32"/>
          <w:szCs w:val="32"/>
          <w:lang w:eastAsia="zh-CN"/>
        </w:rPr>
        <w:t>。</w:t>
      </w:r>
      <w:r>
        <w:rPr>
          <w:rFonts w:hint="default" w:ascii="Times New Roman" w:hAnsi="Times New Roman" w:eastAsia="仿宋_GB2312" w:cs="Times New Roman"/>
          <w:i w:val="0"/>
          <w:iCs w:val="0"/>
          <w:caps w:val="0"/>
          <w:spacing w:val="0"/>
          <w:sz w:val="32"/>
          <w:szCs w:val="32"/>
        </w:rPr>
        <w:t>在“吉事办”平台打造“预约办”服务入口，持续完善“一网通办”专窗、专栏功能，丰富接入服务事项，新增151项全程网办事项，稳步提升政务服务网办率与法治化水平</w:t>
      </w:r>
      <w:r>
        <w:rPr>
          <w:rFonts w:hint="default" w:ascii="Times New Roman" w:hAnsi="Times New Roman" w:eastAsia="仿宋_GB2312" w:cs="Times New Roman"/>
          <w:i w:val="0"/>
          <w:iCs w:val="0"/>
          <w:caps w:val="0"/>
          <w:spacing w:val="0"/>
          <w:sz w:val="32"/>
          <w:szCs w:val="32"/>
          <w:lang w:eastAsia="zh-CN"/>
        </w:rPr>
        <w:t>，依法依规全面推进数字政府建设。</w:t>
      </w:r>
    </w:p>
    <w:p w14:paraId="756A70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lang w:val="en-US" w:eastAsia="zh-CN"/>
        </w:rPr>
        <w:t>2025年推进法治政府建设</w:t>
      </w:r>
      <w:r>
        <w:rPr>
          <w:rFonts w:hint="default" w:ascii="Times New Roman" w:hAnsi="Times New Roman" w:eastAsia="黑体" w:cs="Times New Roman"/>
          <w:color w:val="auto"/>
          <w:sz w:val="32"/>
          <w:szCs w:val="32"/>
          <w:lang w:eastAsia="zh-CN"/>
        </w:rPr>
        <w:t>存在的不足和原因</w:t>
      </w:r>
    </w:p>
    <w:p w14:paraId="55EB524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kern w:val="2"/>
          <w:sz w:val="32"/>
          <w:szCs w:val="32"/>
          <w:highlight w:val="none"/>
          <w:lang w:val="en-US" w:eastAsia="zh-CN" w:bidi="ar-SA"/>
        </w:rPr>
        <w:t>（一）</w:t>
      </w:r>
      <w:r>
        <w:rPr>
          <w:rFonts w:hint="default" w:ascii="Times New Roman" w:hAnsi="Times New Roman" w:eastAsia="楷体_GB2312" w:cs="Times New Roman"/>
          <w:sz w:val="32"/>
          <w:szCs w:val="32"/>
          <w:highlight w:val="none"/>
          <w:lang w:val="en-US" w:eastAsia="zh-CN"/>
        </w:rPr>
        <w:t>依法行政理念内化不足</w:t>
      </w:r>
    </w:p>
    <w:p w14:paraId="2BDCE31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i w:val="0"/>
          <w:iCs w:val="0"/>
          <w:caps w:val="0"/>
          <w:color w:val="1C1F23"/>
          <w:spacing w:val="0"/>
          <w:sz w:val="32"/>
          <w:szCs w:val="32"/>
        </w:rPr>
        <w:t>对习近平法治思想的系统性理解与深层次内化存在不足，未能深刻把握</w:t>
      </w:r>
      <w:r>
        <w:rPr>
          <w:rFonts w:hint="default" w:ascii="Times New Roman" w:hAnsi="Times New Roman" w:eastAsia="仿宋_GB2312" w:cs="Times New Roman"/>
          <w:i w:val="0"/>
          <w:iCs w:val="0"/>
          <w:caps w:val="0"/>
          <w:color w:val="1C1F23"/>
          <w:spacing w:val="0"/>
          <w:sz w:val="32"/>
          <w:szCs w:val="32"/>
          <w:lang w:val="en-US" w:eastAsia="zh-CN"/>
        </w:rPr>
        <w:t>依法行政的</w:t>
      </w:r>
      <w:r>
        <w:rPr>
          <w:rFonts w:hint="default" w:ascii="Times New Roman" w:hAnsi="Times New Roman" w:eastAsia="仿宋_GB2312" w:cs="Times New Roman"/>
          <w:i w:val="0"/>
          <w:iCs w:val="0"/>
          <w:caps w:val="0"/>
          <w:color w:val="1C1F23"/>
          <w:spacing w:val="0"/>
          <w:sz w:val="32"/>
          <w:szCs w:val="32"/>
        </w:rPr>
        <w:t>核心要义，</w:t>
      </w:r>
      <w:r>
        <w:rPr>
          <w:rFonts w:hint="eastAsia" w:ascii="Times New Roman" w:hAnsi="Times New Roman" w:eastAsia="仿宋_GB2312" w:cs="Times New Roman"/>
          <w:i w:val="0"/>
          <w:iCs w:val="0"/>
          <w:caps w:val="0"/>
          <w:color w:val="1C1F23"/>
          <w:spacing w:val="0"/>
          <w:sz w:val="32"/>
          <w:szCs w:val="32"/>
          <w:lang w:val="en-US" w:eastAsia="zh-CN"/>
        </w:rPr>
        <w:t>未能及时</w:t>
      </w:r>
      <w:r>
        <w:rPr>
          <w:rFonts w:hint="default" w:ascii="Times New Roman" w:hAnsi="Times New Roman" w:eastAsia="仿宋_GB2312" w:cs="Times New Roman"/>
          <w:i w:val="0"/>
          <w:iCs w:val="0"/>
          <w:caps w:val="0"/>
          <w:color w:val="1C1F23"/>
          <w:spacing w:val="0"/>
          <w:sz w:val="32"/>
          <w:szCs w:val="32"/>
          <w:lang w:val="en-US" w:eastAsia="zh-CN"/>
        </w:rPr>
        <w:t>接触和了解</w:t>
      </w:r>
      <w:r>
        <w:rPr>
          <w:rFonts w:hint="default" w:ascii="Times New Roman" w:hAnsi="Times New Roman" w:eastAsia="仿宋_GB2312" w:cs="Times New Roman"/>
          <w:i w:val="0"/>
          <w:iCs w:val="0"/>
          <w:caps w:val="0"/>
          <w:color w:val="1C1F23"/>
          <w:spacing w:val="0"/>
          <w:sz w:val="32"/>
          <w:szCs w:val="32"/>
        </w:rPr>
        <w:t>新观点、新理念、新论断，未能紧密结合</w:t>
      </w:r>
      <w:r>
        <w:rPr>
          <w:rFonts w:hint="default" w:ascii="Times New Roman" w:hAnsi="Times New Roman" w:eastAsia="仿宋_GB2312" w:cs="Times New Roman"/>
          <w:i w:val="0"/>
          <w:iCs w:val="0"/>
          <w:caps w:val="0"/>
          <w:color w:val="1C1F23"/>
          <w:spacing w:val="0"/>
          <w:sz w:val="32"/>
          <w:szCs w:val="32"/>
          <w:lang w:val="en-US" w:eastAsia="zh-CN"/>
        </w:rPr>
        <w:t>工作实际</w:t>
      </w:r>
      <w:r>
        <w:rPr>
          <w:rFonts w:hint="default" w:ascii="Times New Roman" w:hAnsi="Times New Roman" w:eastAsia="仿宋_GB2312" w:cs="Times New Roman"/>
          <w:i w:val="0"/>
          <w:iCs w:val="0"/>
          <w:caps w:val="0"/>
          <w:color w:val="1C1F23"/>
          <w:spacing w:val="0"/>
          <w:sz w:val="32"/>
          <w:szCs w:val="32"/>
        </w:rPr>
        <w:t>的新需求、新挑战</w:t>
      </w:r>
      <w:r>
        <w:rPr>
          <w:rFonts w:hint="eastAsia" w:ascii="Times New Roman" w:hAnsi="Times New Roman" w:eastAsia="仿宋_GB2312" w:cs="Times New Roman"/>
          <w:i w:val="0"/>
          <w:iCs w:val="0"/>
          <w:caps w:val="0"/>
          <w:color w:val="1C1F23"/>
          <w:spacing w:val="0"/>
          <w:sz w:val="32"/>
          <w:szCs w:val="32"/>
          <w:lang w:val="en-US" w:eastAsia="zh-CN"/>
        </w:rPr>
        <w:t>及时调整工作理念。</w:t>
      </w:r>
    </w:p>
    <w:p w14:paraId="2E46368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0"/>
          <w:sz w:val="32"/>
          <w:szCs w:val="32"/>
          <w:lang w:val="en-US" w:eastAsia="zh-CN" w:bidi="ar"/>
        </w:rPr>
      </w:pPr>
      <w:r>
        <w:rPr>
          <w:rFonts w:hint="default" w:ascii="Times New Roman" w:hAnsi="Times New Roman" w:eastAsia="楷体_GB2312" w:cs="Times New Roman"/>
          <w:kern w:val="0"/>
          <w:sz w:val="32"/>
          <w:szCs w:val="32"/>
          <w:lang w:val="en-US" w:eastAsia="zh-CN" w:bidi="ar"/>
        </w:rPr>
        <w:t>（二）法治在实际工作中的应用还不够到位</w:t>
      </w:r>
    </w:p>
    <w:p w14:paraId="0DF3695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lang w:val="en-US" w:eastAsia="zh-CN" w:bidi="ar"/>
        </w:rPr>
        <w:t>对习近平法治思想指导实践的路径探索还不深入，将法治要求转化为具体工作举措、解决实际问题的成效不够明显，法治在保障民生权益、优化治理效能等方面的支撑作用发挥不充分，运用法治思维和法治方式推动工作的能力水平有待提高。</w:t>
      </w:r>
    </w:p>
    <w:p w14:paraId="1BE8F1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三、</w:t>
      </w:r>
      <w:r>
        <w:rPr>
          <w:rFonts w:hint="default" w:ascii="Times New Roman" w:hAnsi="Times New Roman" w:eastAsia="黑体" w:cs="Times New Roman"/>
          <w:color w:val="auto"/>
          <w:sz w:val="32"/>
          <w:szCs w:val="32"/>
          <w:lang w:val="en-US" w:eastAsia="zh-CN"/>
        </w:rPr>
        <w:t>2025年</w:t>
      </w:r>
      <w:r>
        <w:rPr>
          <w:rFonts w:hint="default" w:ascii="Times New Roman" w:hAnsi="Times New Roman" w:eastAsia="黑体" w:cs="Times New Roman"/>
          <w:color w:val="auto"/>
          <w:sz w:val="32"/>
          <w:szCs w:val="32"/>
          <w:lang w:eastAsia="zh-CN"/>
        </w:rPr>
        <w:t>党政主要负责人履行推进法治建设第一责任人职责，加强法治政府建设的有关情况</w:t>
      </w:r>
    </w:p>
    <w:p w14:paraId="5F1C8AC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i w:val="0"/>
          <w:iCs w:val="0"/>
          <w:caps w:val="0"/>
          <w:spacing w:val="0"/>
          <w:sz w:val="32"/>
          <w:szCs w:val="32"/>
          <w:lang w:val="en-US" w:eastAsia="zh-CN"/>
        </w:rPr>
      </w:pPr>
      <w:r>
        <w:rPr>
          <w:rFonts w:hint="default" w:ascii="Times New Roman" w:hAnsi="Times New Roman" w:eastAsia="仿宋_GB2312" w:cs="Times New Roman"/>
          <w:i w:val="0"/>
          <w:iCs w:val="0"/>
          <w:caps w:val="0"/>
          <w:color w:val="1F2329"/>
          <w:spacing w:val="0"/>
          <w:kern w:val="0"/>
          <w:sz w:val="32"/>
          <w:szCs w:val="32"/>
          <w:shd w:val="clear" w:color="auto" w:fill="FFFFFF"/>
          <w:lang w:val="en-US" w:eastAsia="zh-CN" w:bidi="ar"/>
        </w:rPr>
        <w:t>2025年，区政数局主要负责人发挥“关键少数”示范引领的作用，带头深入学习习近平法治思想，认真贯彻习近平总书记对法治工作作出的重要指示精神。严格执行《党政主要负责人履行推进法治建设第一责任人职责规定》，牢固树立法治建设第一责任人意识，始终以尊崇法治为行动准则。将学习贯彻党的二十大和二十届历次全会精神作为当前首要政治任务，切实强化推进全面依法治区的思想自觉与行动自觉，推动法治政府建设与政务服务工作统筹谋划、同步部署、协同推进，实现二者深度融合、互促共进。</w:t>
      </w:r>
      <w:r>
        <w:rPr>
          <w:rFonts w:hint="default" w:ascii="Times New Roman" w:hAnsi="Times New Roman" w:eastAsia="仿宋_GB2312" w:cs="Times New Roman"/>
          <w:b w:val="0"/>
          <w:bCs w:val="0"/>
          <w:color w:val="auto"/>
          <w:kern w:val="2"/>
          <w:sz w:val="32"/>
          <w:szCs w:val="32"/>
          <w:highlight w:val="none"/>
          <w:u w:val="none"/>
          <w:lang w:val="en-US" w:eastAsia="zh-CN" w:bidi="ar-SA"/>
        </w:rPr>
        <w:t>依法</w:t>
      </w:r>
      <w:r>
        <w:rPr>
          <w:rFonts w:hint="default" w:ascii="Times New Roman" w:hAnsi="Times New Roman" w:eastAsia="仿宋_GB2312" w:cs="Times New Roman"/>
          <w:sz w:val="32"/>
          <w:szCs w:val="32"/>
          <w:lang w:val="en-US" w:eastAsia="zh-CN"/>
        </w:rPr>
        <w:t>持续推进“高效办成一件事”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建立清单管理和常态化推进机制，通过跨部门业务协同和流程再造，承诺时限、申请材料、跑动次数分别压缩75%、40%、77%。12345政务热线2025年全年满意率达99.4%，排名全市前列。</w:t>
      </w:r>
      <w:r>
        <w:rPr>
          <w:rFonts w:hint="default" w:ascii="Times New Roman" w:hAnsi="Times New Roman" w:eastAsia="仿宋_GB2312" w:cs="Times New Roman"/>
          <w:i w:val="0"/>
          <w:iCs w:val="0"/>
          <w:caps w:val="0"/>
          <w:spacing w:val="0"/>
          <w:sz w:val="32"/>
          <w:szCs w:val="32"/>
        </w:rPr>
        <w:t>深入贯彻落实《政务数据共享条例》，依托全省数据共享交换平台，组织64个部门</w:t>
      </w:r>
      <w:r>
        <w:rPr>
          <w:rFonts w:hint="default" w:ascii="Times New Roman" w:hAnsi="Times New Roman" w:eastAsia="仿宋_GB2312" w:cs="Times New Roman"/>
          <w:i w:val="0"/>
          <w:iCs w:val="0"/>
          <w:caps w:val="0"/>
          <w:spacing w:val="0"/>
          <w:sz w:val="32"/>
          <w:szCs w:val="32"/>
          <w:lang w:eastAsia="zh-CN"/>
        </w:rPr>
        <w:t>依法</w:t>
      </w:r>
      <w:r>
        <w:rPr>
          <w:rFonts w:hint="default" w:ascii="Times New Roman" w:hAnsi="Times New Roman" w:eastAsia="仿宋_GB2312" w:cs="Times New Roman"/>
          <w:i w:val="0"/>
          <w:iCs w:val="0"/>
          <w:caps w:val="0"/>
          <w:spacing w:val="0"/>
          <w:sz w:val="32"/>
          <w:szCs w:val="32"/>
        </w:rPr>
        <w:t>依规录入41万余条共享数据，</w:t>
      </w:r>
      <w:r>
        <w:rPr>
          <w:rFonts w:hint="default" w:ascii="Times New Roman" w:hAnsi="Times New Roman" w:eastAsia="仿宋_GB2312" w:cs="Times New Roman"/>
          <w:i w:val="0"/>
          <w:iCs w:val="0"/>
          <w:caps w:val="0"/>
          <w:spacing w:val="0"/>
          <w:sz w:val="32"/>
          <w:szCs w:val="32"/>
          <w:lang w:eastAsia="zh-CN"/>
        </w:rPr>
        <w:t>推动</w:t>
      </w:r>
      <w:r>
        <w:rPr>
          <w:rFonts w:hint="default" w:ascii="Times New Roman" w:hAnsi="Times New Roman" w:eastAsia="仿宋_GB2312" w:cs="Times New Roman"/>
          <w:i w:val="0"/>
          <w:iCs w:val="0"/>
          <w:caps w:val="0"/>
          <w:spacing w:val="0"/>
          <w:sz w:val="32"/>
          <w:szCs w:val="32"/>
        </w:rPr>
        <w:t>数据共享法治化</w:t>
      </w:r>
      <w:r>
        <w:rPr>
          <w:rFonts w:hint="default" w:ascii="Times New Roman" w:hAnsi="Times New Roman" w:eastAsia="仿宋_GB2312" w:cs="Times New Roman"/>
          <w:i w:val="0"/>
          <w:iCs w:val="0"/>
          <w:caps w:val="0"/>
          <w:spacing w:val="0"/>
          <w:sz w:val="32"/>
          <w:szCs w:val="32"/>
          <w:lang w:eastAsia="zh-CN"/>
        </w:rPr>
        <w:t>。</w:t>
      </w:r>
    </w:p>
    <w:p w14:paraId="24C46D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lang w:val="en-US" w:eastAsia="zh-CN"/>
        </w:rPr>
        <w:t>2026年工作打算</w:t>
      </w:r>
    </w:p>
    <w:p w14:paraId="1D332DD0">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both"/>
        <w:rPr>
          <w:rFonts w:hint="eastAsia" w:ascii="Times New Roman" w:hAnsi="Times New Roman" w:eastAsia="楷体_GB2312" w:cs="Times New Roman"/>
          <w:kern w:val="0"/>
          <w:sz w:val="32"/>
          <w:szCs w:val="32"/>
          <w:lang w:val="en-US" w:eastAsia="zh-CN" w:bidi="ar"/>
        </w:rPr>
      </w:pPr>
      <w:r>
        <w:rPr>
          <w:rFonts w:hint="default" w:ascii="Times New Roman" w:hAnsi="Times New Roman" w:eastAsia="楷体_GB2312" w:cs="Times New Roman"/>
          <w:kern w:val="0"/>
          <w:sz w:val="32"/>
          <w:szCs w:val="32"/>
          <w:lang w:val="en-US" w:eastAsia="zh-CN" w:bidi="ar"/>
        </w:rPr>
        <w:t>以法治思维深化联动机制，</w:t>
      </w:r>
      <w:r>
        <w:rPr>
          <w:rFonts w:hint="eastAsia" w:ascii="Times New Roman" w:hAnsi="Times New Roman" w:eastAsia="楷体_GB2312" w:cs="Times New Roman"/>
          <w:kern w:val="0"/>
          <w:sz w:val="32"/>
          <w:szCs w:val="32"/>
          <w:lang w:val="en-US" w:eastAsia="zh-CN" w:bidi="ar"/>
        </w:rPr>
        <w:t>规范行政审批行为</w:t>
      </w:r>
    </w:p>
    <w:p w14:paraId="7B3B2C0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1F2329"/>
          <w:spacing w:val="0"/>
          <w:kern w:val="0"/>
          <w:sz w:val="32"/>
          <w:szCs w:val="32"/>
          <w:shd w:val="clear" w:color="auto" w:fill="FFFFFF"/>
          <w:lang w:val="en-US" w:eastAsia="zh-CN" w:bidi="ar"/>
        </w:rPr>
        <w:t>依法健全“高效办成一件事”联动工作机制，归集企业群众合理诉求，以法治化</w:t>
      </w:r>
      <w:r>
        <w:rPr>
          <w:rFonts w:hint="eastAsia" w:ascii="Times New Roman" w:hAnsi="Times New Roman" w:eastAsia="仿宋_GB2312" w:cs="Times New Roman"/>
          <w:i w:val="0"/>
          <w:iCs w:val="0"/>
          <w:caps w:val="0"/>
          <w:color w:val="1F2329"/>
          <w:spacing w:val="0"/>
          <w:kern w:val="0"/>
          <w:sz w:val="32"/>
          <w:szCs w:val="32"/>
          <w:shd w:val="clear" w:color="auto" w:fill="FFFFFF"/>
          <w:lang w:val="en-US" w:eastAsia="zh-CN" w:bidi="ar"/>
        </w:rPr>
        <w:t>为引领，</w:t>
      </w:r>
      <w:r>
        <w:rPr>
          <w:rFonts w:hint="default" w:ascii="Times New Roman" w:hAnsi="Times New Roman" w:eastAsia="仿宋_GB2312" w:cs="Times New Roman"/>
          <w:i w:val="0"/>
          <w:iCs w:val="0"/>
          <w:caps w:val="0"/>
          <w:color w:val="1F2329"/>
          <w:spacing w:val="0"/>
          <w:kern w:val="0"/>
          <w:sz w:val="32"/>
          <w:szCs w:val="32"/>
          <w:shd w:val="clear" w:color="auto" w:fill="FFFFFF"/>
          <w:lang w:val="en-US" w:eastAsia="zh-CN" w:bidi="ar"/>
        </w:rPr>
        <w:t>推进特色创新“一件事”，实现法治框架下的政务服务增值增效。严格落实线下政务服务“只进一门”，严守“应进必进”“大厅之外无审批”的法治底线，确保行政审批与政务服务活动全程在法治轨道上运行。</w:t>
      </w:r>
    </w:p>
    <w:p w14:paraId="693252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w:t>
      </w:r>
      <w:r>
        <w:rPr>
          <w:rFonts w:hint="eastAsia"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eastAsia="zh-CN"/>
        </w:rPr>
        <w:t>）</w:t>
      </w:r>
      <w:r>
        <w:rPr>
          <w:rStyle w:val="8"/>
          <w:rFonts w:hint="default" w:ascii="Times New Roman" w:hAnsi="Times New Roman" w:eastAsia="楷体_GB2312" w:cs="Times New Roman"/>
          <w:b w:val="0"/>
          <w:bCs w:val="0"/>
          <w:color w:val="1F2329"/>
          <w:sz w:val="32"/>
          <w:szCs w:val="32"/>
        </w:rPr>
        <w:t>法治赋能</w:t>
      </w:r>
      <w:r>
        <w:rPr>
          <w:rStyle w:val="8"/>
          <w:rFonts w:hint="default" w:ascii="Times New Roman" w:hAnsi="Times New Roman" w:eastAsia="楷体_GB2312" w:cs="Times New Roman"/>
          <w:b w:val="0"/>
          <w:bCs w:val="0"/>
          <w:color w:val="1F2329"/>
          <w:sz w:val="32"/>
          <w:szCs w:val="32"/>
          <w:lang w:eastAsia="zh-CN"/>
        </w:rPr>
        <w:t>政务</w:t>
      </w:r>
      <w:r>
        <w:rPr>
          <w:rStyle w:val="8"/>
          <w:rFonts w:hint="default" w:ascii="Times New Roman" w:hAnsi="Times New Roman" w:eastAsia="楷体_GB2312" w:cs="Times New Roman"/>
          <w:b w:val="0"/>
          <w:bCs w:val="0"/>
          <w:color w:val="1F2329"/>
          <w:sz w:val="32"/>
          <w:szCs w:val="32"/>
        </w:rPr>
        <w:t>热线</w:t>
      </w:r>
      <w:r>
        <w:rPr>
          <w:rStyle w:val="8"/>
          <w:rFonts w:hint="default" w:ascii="Times New Roman" w:hAnsi="Times New Roman" w:eastAsia="楷体_GB2312" w:cs="Times New Roman"/>
          <w:b w:val="0"/>
          <w:bCs w:val="0"/>
          <w:color w:val="1F2329"/>
          <w:sz w:val="32"/>
          <w:szCs w:val="32"/>
          <w:lang w:eastAsia="zh-CN"/>
        </w:rPr>
        <w:t>建设，</w:t>
      </w:r>
      <w:r>
        <w:rPr>
          <w:rStyle w:val="8"/>
          <w:rFonts w:hint="default" w:ascii="Times New Roman" w:hAnsi="Times New Roman" w:eastAsia="楷体_GB2312" w:cs="Times New Roman"/>
          <w:b w:val="0"/>
          <w:bCs w:val="0"/>
          <w:color w:val="1F2329"/>
          <w:sz w:val="32"/>
          <w:szCs w:val="32"/>
        </w:rPr>
        <w:t>深化主动治理</w:t>
      </w:r>
    </w:p>
    <w:p w14:paraId="483486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z w:val="32"/>
          <w:szCs w:val="32"/>
        </w:rPr>
      </w:pPr>
      <w:r>
        <w:rPr>
          <w:rFonts w:hint="eastAsia" w:ascii="仿宋_GB2312" w:hAnsi="仿宋_GB2312" w:eastAsia="仿宋_GB2312" w:cs="仿宋_GB2312"/>
          <w:i w:val="0"/>
          <w:iCs w:val="0"/>
          <w:caps w:val="0"/>
          <w:color w:val="1F2329"/>
          <w:spacing w:val="0"/>
          <w:kern w:val="0"/>
          <w:sz w:val="32"/>
          <w:szCs w:val="32"/>
          <w:shd w:val="clear" w:color="auto" w:fill="FFFFFF"/>
          <w:lang w:val="en-US" w:eastAsia="zh-CN" w:bidi="ar"/>
        </w:rPr>
        <w:t>持续推进接诉即办改革。依法</w:t>
      </w:r>
      <w:r>
        <w:rPr>
          <w:rFonts w:hint="default" w:ascii="Times New Roman" w:hAnsi="Times New Roman" w:eastAsia="仿宋_GB2312" w:cs="Times New Roman"/>
          <w:i w:val="0"/>
          <w:iCs w:val="0"/>
          <w:caps w:val="0"/>
          <w:color w:val="1F2329"/>
          <w:spacing w:val="0"/>
          <w:kern w:val="0"/>
          <w:sz w:val="32"/>
          <w:szCs w:val="32"/>
          <w:shd w:val="clear" w:color="auto" w:fill="FFFFFF"/>
          <w:lang w:val="en-US" w:eastAsia="zh-CN" w:bidi="ar"/>
        </w:rPr>
        <w:t>强化12345热线民生数据分析应用，全面推进</w:t>
      </w:r>
      <w:r>
        <w:rPr>
          <w:rFonts w:hint="eastAsia" w:ascii="Times New Roman" w:hAnsi="Times New Roman" w:eastAsia="仿宋_GB2312" w:cs="Times New Roman"/>
          <w:i w:val="0"/>
          <w:iCs w:val="0"/>
          <w:caps w:val="0"/>
          <w:color w:val="1F2329"/>
          <w:spacing w:val="0"/>
          <w:kern w:val="0"/>
          <w:sz w:val="32"/>
          <w:szCs w:val="32"/>
          <w:shd w:val="clear" w:color="auto" w:fill="FFFFFF"/>
          <w:lang w:val="en-US" w:eastAsia="zh-CN" w:bidi="ar"/>
        </w:rPr>
        <w:t>工单</w:t>
      </w:r>
      <w:r>
        <w:rPr>
          <w:rFonts w:hint="default" w:ascii="Times New Roman" w:hAnsi="Times New Roman" w:eastAsia="仿宋_GB2312" w:cs="Times New Roman"/>
          <w:i w:val="0"/>
          <w:iCs w:val="0"/>
          <w:caps w:val="0"/>
          <w:color w:val="1F2329"/>
          <w:spacing w:val="0"/>
          <w:kern w:val="0"/>
          <w:sz w:val="32"/>
          <w:szCs w:val="32"/>
          <w:shd w:val="clear" w:color="auto" w:fill="FFFFFF"/>
          <w:lang w:val="en-US" w:eastAsia="zh-CN" w:bidi="ar"/>
        </w:rPr>
        <w:t>办理全流程法治化</w:t>
      </w:r>
      <w:r>
        <w:rPr>
          <w:rFonts w:hint="eastAsia" w:ascii="Times New Roman" w:hAnsi="Times New Roman" w:eastAsia="仿宋_GB2312" w:cs="Times New Roman"/>
          <w:i w:val="0"/>
          <w:iCs w:val="0"/>
          <w:caps w:val="0"/>
          <w:color w:val="1F2329"/>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1F2329"/>
          <w:spacing w:val="0"/>
          <w:kern w:val="0"/>
          <w:sz w:val="32"/>
          <w:szCs w:val="32"/>
          <w:shd w:val="clear" w:color="auto" w:fill="FFFFFF"/>
          <w:lang w:val="en-US" w:eastAsia="zh-CN" w:bidi="ar"/>
        </w:rPr>
        <w:t>规范化建设，聚焦群众反映的关键共性问题，深入开展法治化精细化治理，推动主动治理常态化，实现未诉先办。</w:t>
      </w:r>
    </w:p>
    <w:p w14:paraId="1513084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kern w:val="0"/>
          <w:sz w:val="32"/>
          <w:szCs w:val="32"/>
          <w:lang w:val="en-US" w:eastAsia="zh-CN" w:bidi="ar"/>
        </w:rPr>
        <w:t>（</w:t>
      </w:r>
      <w:r>
        <w:rPr>
          <w:rFonts w:hint="eastAsia" w:ascii="Times New Roman" w:hAnsi="Times New Roman" w:eastAsia="楷体_GB2312" w:cs="Times New Roman"/>
          <w:kern w:val="0"/>
          <w:sz w:val="32"/>
          <w:szCs w:val="32"/>
          <w:lang w:val="en-US" w:eastAsia="zh-CN" w:bidi="ar"/>
        </w:rPr>
        <w:t>三</w:t>
      </w:r>
      <w:r>
        <w:rPr>
          <w:rFonts w:hint="default" w:ascii="Times New Roman" w:hAnsi="Times New Roman" w:eastAsia="楷体_GB2312" w:cs="Times New Roman"/>
          <w:kern w:val="0"/>
          <w:sz w:val="32"/>
          <w:szCs w:val="32"/>
          <w:lang w:val="en-US" w:eastAsia="zh-CN" w:bidi="ar"/>
        </w:rPr>
        <w:t>）法治护航经营主体，提质升级企业服务</w:t>
      </w:r>
    </w:p>
    <w:p w14:paraId="0F8CA5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1F2329"/>
          <w:spacing w:val="0"/>
          <w:kern w:val="0"/>
          <w:sz w:val="32"/>
          <w:szCs w:val="32"/>
          <w:shd w:val="clear" w:color="auto" w:fill="FFFFFF"/>
          <w:lang w:val="en-US" w:eastAsia="zh-CN" w:bidi="ar"/>
        </w:rPr>
        <w:t>依法强化经营主体合法权益保护，为企业提供审批全流程帮办代办服务，以法治思维推动企业服务从“便捷服务”向“增值服务”转型。健全企业诉求收集、办理、反馈全链条法治化工作制度，依托信息化平台拓宽企业合法诉求表达渠道，依法妥善解决企业群众急难愁盼问题。</w:t>
      </w:r>
    </w:p>
    <w:p w14:paraId="7F1953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w:t>
      </w:r>
      <w:r>
        <w:rPr>
          <w:rStyle w:val="8"/>
          <w:rFonts w:hint="default" w:ascii="Times New Roman" w:hAnsi="Times New Roman" w:eastAsia="楷体_GB2312" w:cs="Times New Roman"/>
          <w:b w:val="0"/>
          <w:bCs w:val="0"/>
          <w:color w:val="1F2329"/>
          <w:sz w:val="32"/>
          <w:szCs w:val="32"/>
        </w:rPr>
        <w:t>以法治规范数据</w:t>
      </w:r>
      <w:r>
        <w:rPr>
          <w:rStyle w:val="8"/>
          <w:rFonts w:hint="eastAsia" w:ascii="Times New Roman" w:hAnsi="Times New Roman" w:eastAsia="楷体_GB2312" w:cs="Times New Roman"/>
          <w:b w:val="0"/>
          <w:bCs w:val="0"/>
          <w:color w:val="1F2329"/>
          <w:sz w:val="32"/>
          <w:szCs w:val="32"/>
          <w:lang w:eastAsia="zh-CN"/>
        </w:rPr>
        <w:t>资源</w:t>
      </w:r>
      <w:r>
        <w:rPr>
          <w:rStyle w:val="8"/>
          <w:rFonts w:hint="default" w:ascii="Times New Roman" w:hAnsi="Times New Roman" w:eastAsia="楷体_GB2312" w:cs="Times New Roman"/>
          <w:b w:val="0"/>
          <w:bCs w:val="0"/>
          <w:color w:val="1F2329"/>
          <w:sz w:val="32"/>
          <w:szCs w:val="32"/>
        </w:rPr>
        <w:t>治理</w:t>
      </w:r>
      <w:r>
        <w:rPr>
          <w:rStyle w:val="8"/>
          <w:rFonts w:hint="default" w:ascii="Times New Roman" w:hAnsi="Times New Roman" w:eastAsia="楷体_GB2312" w:cs="Times New Roman"/>
          <w:b w:val="0"/>
          <w:bCs w:val="0"/>
          <w:color w:val="1F2329"/>
          <w:sz w:val="32"/>
          <w:szCs w:val="32"/>
          <w:lang w:eastAsia="zh-CN"/>
        </w:rPr>
        <w:t>，</w:t>
      </w:r>
      <w:r>
        <w:rPr>
          <w:rStyle w:val="8"/>
          <w:rFonts w:hint="default" w:ascii="Times New Roman" w:hAnsi="Times New Roman" w:eastAsia="楷体_GB2312" w:cs="Times New Roman"/>
          <w:b w:val="0"/>
          <w:bCs w:val="0"/>
          <w:color w:val="1F2329"/>
          <w:sz w:val="32"/>
          <w:szCs w:val="32"/>
        </w:rPr>
        <w:t>推动智慧政务</w:t>
      </w:r>
      <w:r>
        <w:rPr>
          <w:rStyle w:val="8"/>
          <w:rFonts w:hint="default" w:ascii="Times New Roman" w:hAnsi="Times New Roman" w:eastAsia="楷体_GB2312" w:cs="Times New Roman"/>
          <w:b w:val="0"/>
          <w:bCs w:val="0"/>
          <w:color w:val="1F2329"/>
          <w:sz w:val="32"/>
          <w:szCs w:val="32"/>
          <w:lang w:eastAsia="zh-CN"/>
        </w:rPr>
        <w:t>建设</w:t>
      </w:r>
    </w:p>
    <w:p w14:paraId="6EDE50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1F2329"/>
          <w:spacing w:val="0"/>
          <w:kern w:val="0"/>
          <w:sz w:val="32"/>
          <w:szCs w:val="32"/>
          <w:shd w:val="clear" w:color="auto" w:fill="FFFFFF"/>
          <w:lang w:val="en-US" w:eastAsia="zh-CN" w:bidi="ar"/>
        </w:rPr>
        <w:t>依法推进政务数据共享，</w:t>
      </w:r>
      <w:r>
        <w:rPr>
          <w:rFonts w:hint="eastAsia" w:ascii="Times New Roman" w:hAnsi="Times New Roman" w:eastAsia="仿宋_GB2312" w:cs="Times New Roman"/>
          <w:i w:val="0"/>
          <w:iCs w:val="0"/>
          <w:caps w:val="0"/>
          <w:color w:val="1F2329"/>
          <w:spacing w:val="0"/>
          <w:kern w:val="0"/>
          <w:sz w:val="32"/>
          <w:szCs w:val="32"/>
          <w:shd w:val="clear" w:color="auto" w:fill="FFFFFF"/>
          <w:lang w:val="en-US" w:eastAsia="zh-CN" w:bidi="ar"/>
        </w:rPr>
        <w:t>让数据资源合法、有序流通</w:t>
      </w:r>
      <w:r>
        <w:rPr>
          <w:rFonts w:hint="default" w:ascii="Times New Roman" w:hAnsi="Times New Roman" w:eastAsia="仿宋_GB2312" w:cs="Times New Roman"/>
          <w:i w:val="0"/>
          <w:iCs w:val="0"/>
          <w:caps w:val="0"/>
          <w:color w:val="1F2329"/>
          <w:spacing w:val="0"/>
          <w:kern w:val="0"/>
          <w:sz w:val="32"/>
          <w:szCs w:val="32"/>
          <w:shd w:val="clear" w:color="auto" w:fill="FFFFFF"/>
          <w:lang w:val="en-US" w:eastAsia="zh-CN" w:bidi="ar"/>
        </w:rPr>
        <w:t>，构建“市场主导、政府引导、多方共建”的数据资产治理模式，推进数据资产管理法治化。依法强化智慧政务体系建设，推动政务服务系统与全省一体化平台联通，以法治赋能政务服务数字化建设，让数据流起来</w:t>
      </w:r>
      <w:r>
        <w:rPr>
          <w:rFonts w:hint="eastAsia" w:ascii="Times New Roman" w:hAnsi="Times New Roman" w:eastAsia="仿宋_GB2312" w:cs="Times New Roman"/>
          <w:i w:val="0"/>
          <w:iCs w:val="0"/>
          <w:caps w:val="0"/>
          <w:color w:val="1F2329"/>
          <w:spacing w:val="0"/>
          <w:kern w:val="0"/>
          <w:sz w:val="32"/>
          <w:szCs w:val="32"/>
          <w:shd w:val="clear" w:color="auto" w:fill="FFFFFF"/>
          <w:lang w:val="en-US" w:eastAsia="zh-CN" w:bidi="ar"/>
        </w:rPr>
        <w:t>，让</w:t>
      </w:r>
      <w:r>
        <w:rPr>
          <w:rFonts w:hint="default" w:ascii="Times New Roman" w:hAnsi="Times New Roman" w:eastAsia="仿宋_GB2312" w:cs="Times New Roman"/>
          <w:i w:val="0"/>
          <w:iCs w:val="0"/>
          <w:caps w:val="0"/>
          <w:color w:val="1F2329"/>
          <w:spacing w:val="0"/>
          <w:kern w:val="0"/>
          <w:sz w:val="32"/>
          <w:szCs w:val="32"/>
          <w:shd w:val="clear" w:color="auto" w:fill="FFFFFF"/>
          <w:lang w:val="en-US" w:eastAsia="zh-CN" w:bidi="ar"/>
        </w:rPr>
        <w:t>群众少跑腿。</w:t>
      </w:r>
    </w:p>
    <w:p w14:paraId="4F5CCE06">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五、其他需要报告的情况</w:t>
      </w:r>
    </w:p>
    <w:p w14:paraId="2F4EF2F9">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无其他需要报告的情况。</w:t>
      </w:r>
    </w:p>
    <w:sectPr>
      <w:foot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12B0BC-CE42-4D07-9478-E58ADE8310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2" w:fontKey="{11A3BE3A-1085-454B-94BA-79368C2804C0}"/>
  </w:font>
  <w:font w:name="仿宋_GB2312">
    <w:panose1 w:val="02010609030101010101"/>
    <w:charset w:val="86"/>
    <w:family w:val="auto"/>
    <w:pitch w:val="default"/>
    <w:sig w:usb0="00000001" w:usb1="080E0000" w:usb2="00000000" w:usb3="00000000" w:csb0="00040000" w:csb1="00000000"/>
    <w:embedRegular r:id="rId3" w:fontKey="{03DF969F-119A-4866-912F-A4C84BA9C2EC}"/>
  </w:font>
  <w:font w:name="楷体_GB2312">
    <w:panose1 w:val="02010609030101010101"/>
    <w:charset w:val="86"/>
    <w:family w:val="auto"/>
    <w:pitch w:val="default"/>
    <w:sig w:usb0="00000001" w:usb1="080E0000" w:usb2="00000000" w:usb3="00000000" w:csb0="00040000" w:csb1="00000000"/>
    <w:embedRegular r:id="rId4" w:fontKey="{C410939D-A0FD-42C8-B1E1-9908CB799D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1543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0E9A5">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0260E9A5">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F2F13"/>
    <w:multiLevelType w:val="singleLevel"/>
    <w:tmpl w:val="AFFF2F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DF6C9C"/>
    <w:rsid w:val="044044C6"/>
    <w:rsid w:val="047F723D"/>
    <w:rsid w:val="08145EEF"/>
    <w:rsid w:val="08BD0334"/>
    <w:rsid w:val="0A0313AD"/>
    <w:rsid w:val="0A876F85"/>
    <w:rsid w:val="0ACE430C"/>
    <w:rsid w:val="0C234952"/>
    <w:rsid w:val="0C356822"/>
    <w:rsid w:val="0D40737D"/>
    <w:rsid w:val="11AA3420"/>
    <w:rsid w:val="14027623"/>
    <w:rsid w:val="143F42F3"/>
    <w:rsid w:val="16FDC380"/>
    <w:rsid w:val="17D2722C"/>
    <w:rsid w:val="186F7AE7"/>
    <w:rsid w:val="1A103DDE"/>
    <w:rsid w:val="1A9F433E"/>
    <w:rsid w:val="1B67034F"/>
    <w:rsid w:val="1D7E40DE"/>
    <w:rsid w:val="1F9B11A5"/>
    <w:rsid w:val="207C5ECE"/>
    <w:rsid w:val="20800511"/>
    <w:rsid w:val="237A0EA4"/>
    <w:rsid w:val="24681644"/>
    <w:rsid w:val="258965E6"/>
    <w:rsid w:val="27677841"/>
    <w:rsid w:val="27C272BD"/>
    <w:rsid w:val="27E64013"/>
    <w:rsid w:val="2AE506E4"/>
    <w:rsid w:val="2BCE566B"/>
    <w:rsid w:val="2DC5E30C"/>
    <w:rsid w:val="2DF05929"/>
    <w:rsid w:val="2E586286"/>
    <w:rsid w:val="2EEA15D4"/>
    <w:rsid w:val="2EEB3364"/>
    <w:rsid w:val="2EFEE99B"/>
    <w:rsid w:val="2F3F11F4"/>
    <w:rsid w:val="302E54F0"/>
    <w:rsid w:val="31A54783"/>
    <w:rsid w:val="341C57EF"/>
    <w:rsid w:val="3619279E"/>
    <w:rsid w:val="366E5DA3"/>
    <w:rsid w:val="36E93F0E"/>
    <w:rsid w:val="3763300D"/>
    <w:rsid w:val="398D7A7D"/>
    <w:rsid w:val="39D4535A"/>
    <w:rsid w:val="3D5F24CF"/>
    <w:rsid w:val="3DBA7391"/>
    <w:rsid w:val="3F033FEC"/>
    <w:rsid w:val="3F2D3E96"/>
    <w:rsid w:val="3F99558C"/>
    <w:rsid w:val="3FA7706D"/>
    <w:rsid w:val="3FB358AA"/>
    <w:rsid w:val="41211A3B"/>
    <w:rsid w:val="4230334A"/>
    <w:rsid w:val="43FE2998"/>
    <w:rsid w:val="47352324"/>
    <w:rsid w:val="47C307BC"/>
    <w:rsid w:val="47ED74CC"/>
    <w:rsid w:val="49D1656A"/>
    <w:rsid w:val="49E30CA1"/>
    <w:rsid w:val="4D9A3253"/>
    <w:rsid w:val="4EC24635"/>
    <w:rsid w:val="4FFB6E6D"/>
    <w:rsid w:val="50446212"/>
    <w:rsid w:val="50CF69C1"/>
    <w:rsid w:val="51085492"/>
    <w:rsid w:val="51E46EE6"/>
    <w:rsid w:val="53784B50"/>
    <w:rsid w:val="559175E7"/>
    <w:rsid w:val="56A872DD"/>
    <w:rsid w:val="58694A68"/>
    <w:rsid w:val="59FF7C03"/>
    <w:rsid w:val="5AAFAC0C"/>
    <w:rsid w:val="5B2F072B"/>
    <w:rsid w:val="5B7D82A4"/>
    <w:rsid w:val="5C777C08"/>
    <w:rsid w:val="5D894AA0"/>
    <w:rsid w:val="5D8D4324"/>
    <w:rsid w:val="5EAB6A71"/>
    <w:rsid w:val="5EC46E9C"/>
    <w:rsid w:val="5EFD24DF"/>
    <w:rsid w:val="5F3A3982"/>
    <w:rsid w:val="5F7F0CC4"/>
    <w:rsid w:val="5FD3BE3C"/>
    <w:rsid w:val="6201715C"/>
    <w:rsid w:val="636F4C1B"/>
    <w:rsid w:val="63C96A58"/>
    <w:rsid w:val="664B39FF"/>
    <w:rsid w:val="67F21BCA"/>
    <w:rsid w:val="67FD0A50"/>
    <w:rsid w:val="6832660A"/>
    <w:rsid w:val="69F83E9D"/>
    <w:rsid w:val="6C3A0D42"/>
    <w:rsid w:val="6CAB51F7"/>
    <w:rsid w:val="6DF74453"/>
    <w:rsid w:val="6E8B4955"/>
    <w:rsid w:val="6EB8009F"/>
    <w:rsid w:val="71A5E1F1"/>
    <w:rsid w:val="73FF5E8A"/>
    <w:rsid w:val="76EEA215"/>
    <w:rsid w:val="76F63E1E"/>
    <w:rsid w:val="77EB5041"/>
    <w:rsid w:val="77F46461"/>
    <w:rsid w:val="77F7BFC3"/>
    <w:rsid w:val="79142376"/>
    <w:rsid w:val="795814B0"/>
    <w:rsid w:val="79F1FDD2"/>
    <w:rsid w:val="7B3867F0"/>
    <w:rsid w:val="7BD80504"/>
    <w:rsid w:val="7BDFDFD1"/>
    <w:rsid w:val="7CBB718B"/>
    <w:rsid w:val="7CDFC2EF"/>
    <w:rsid w:val="7D794818"/>
    <w:rsid w:val="7DBE0F31"/>
    <w:rsid w:val="7DE7856D"/>
    <w:rsid w:val="7DEFB2EE"/>
    <w:rsid w:val="7E3F2705"/>
    <w:rsid w:val="7EED7D0A"/>
    <w:rsid w:val="7F4B2234"/>
    <w:rsid w:val="7F57620D"/>
    <w:rsid w:val="7FB83EDF"/>
    <w:rsid w:val="7FBE13C8"/>
    <w:rsid w:val="7FDEEECF"/>
    <w:rsid w:val="7FFB11F7"/>
    <w:rsid w:val="9BDF6C9C"/>
    <w:rsid w:val="9EFF1846"/>
    <w:rsid w:val="ADDE6B6E"/>
    <w:rsid w:val="AFC78E31"/>
    <w:rsid w:val="B36F45E2"/>
    <w:rsid w:val="B7DFC313"/>
    <w:rsid w:val="B7FB306D"/>
    <w:rsid w:val="BBD70B1E"/>
    <w:rsid w:val="BDC54E18"/>
    <w:rsid w:val="BDFCD7D8"/>
    <w:rsid w:val="BE7BBDC6"/>
    <w:rsid w:val="BE7EFE9C"/>
    <w:rsid w:val="BF5EEE2D"/>
    <w:rsid w:val="BFB7400B"/>
    <w:rsid w:val="BFCF52D0"/>
    <w:rsid w:val="CFFF6E6F"/>
    <w:rsid w:val="D7CA43CF"/>
    <w:rsid w:val="DBBED16B"/>
    <w:rsid w:val="DEB3DE73"/>
    <w:rsid w:val="DFBBE5C5"/>
    <w:rsid w:val="DFE70184"/>
    <w:rsid w:val="DFF6451C"/>
    <w:rsid w:val="DFFDA126"/>
    <w:rsid w:val="DFFF8ED0"/>
    <w:rsid w:val="E3BC21D5"/>
    <w:rsid w:val="EFFCD526"/>
    <w:rsid w:val="EFFF21F3"/>
    <w:rsid w:val="F6DFC8CC"/>
    <w:rsid w:val="F7DF3E81"/>
    <w:rsid w:val="F7F2AEDC"/>
    <w:rsid w:val="F7FFD928"/>
    <w:rsid w:val="F7FFEF3C"/>
    <w:rsid w:val="FBFEFF42"/>
    <w:rsid w:val="FBFF60BA"/>
    <w:rsid w:val="FDFD3ABF"/>
    <w:rsid w:val="FDFF4C66"/>
    <w:rsid w:val="FFDEAC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TOC2"/>
    <w:basedOn w:val="1"/>
    <w:next w:val="1"/>
    <w:semiHidden/>
    <w:qFormat/>
    <w:uiPriority w:val="0"/>
    <w:pPr>
      <w:ind w:left="420" w:leftChars="200" w:firstLine="21" w:firstLineChars="200"/>
      <w:textAlignment w:val="baseline"/>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3285</Words>
  <Characters>3381</Characters>
  <Lines>0</Lines>
  <Paragraphs>0</Paragraphs>
  <TotalTime>40</TotalTime>
  <ScaleCrop>false</ScaleCrop>
  <LinksUpToDate>false</LinksUpToDate>
  <CharactersWithSpaces>3381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2026-01-01T17:58:00Z</dcterms:created>
  <dc:creator>歌唱动荡的青春</dc:creator>
  <cp:lastModifiedBy>孙湛镔、❤</cp:lastModifiedBy>
  <cp:lastPrinted>2026-01-09T09:24:32Z</cp:lastPrinted>
  <dcterms:modified xsi:type="dcterms:W3CDTF">2026-02-24T01:13:16Z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2DC2AFDD714C43F5A621BABA24A9AA15_13</vt:lpwstr>
  </property>
  <property fmtid="{D5CDD505-2E9C-101B-9397-08002B2CF9AE}" pid="4" name="KSOTemplateDocerSaveRecord">
    <vt:lpwstr>eyJoZGlkIjoiZjI0NGQyMjFjYWQ0Yzg1NzE0ZDAxMzMyODBlNDJhNDciLCJ1c2VySWQiOiIxMTIwNjQ5MDQ4In0=</vt:lpwstr>
  </property>
</Properties>
</file>