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hAnsi="宋体" w:eastAsia="宋体" w:cs="宋体"/>
          <w:b/>
          <w:bCs/>
          <w:color w:val="333333"/>
          <w:kern w:val="0"/>
          <w:sz w:val="36"/>
          <w:szCs w:val="36"/>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b/>
          <w:bCs/>
          <w:i w:val="0"/>
          <w:caps w:val="0"/>
          <w:color w:val="000000"/>
          <w:spacing w:val="0"/>
          <w:sz w:val="36"/>
          <w:szCs w:val="36"/>
        </w:rPr>
      </w:pPr>
      <w:r>
        <w:rPr>
          <w:rFonts w:hint="eastAsia" w:ascii="宋体" w:hAnsi="宋体" w:eastAsia="宋体" w:cs="宋体"/>
          <w:b/>
          <w:bCs/>
          <w:i w:val="0"/>
          <w:caps w:val="0"/>
          <w:color w:val="000000"/>
          <w:spacing w:val="0"/>
          <w:sz w:val="36"/>
          <w:szCs w:val="36"/>
          <w:shd w:val="clear" w:fill="FFFFFF"/>
          <w:lang w:eastAsia="zh-CN"/>
        </w:rPr>
        <w:t>东</w:t>
      </w:r>
      <w:r>
        <w:rPr>
          <w:rFonts w:hint="eastAsia" w:ascii="宋体" w:hAnsi="宋体" w:eastAsia="宋体" w:cs="宋体"/>
          <w:b/>
          <w:bCs/>
          <w:i w:val="0"/>
          <w:caps w:val="0"/>
          <w:color w:val="000000"/>
          <w:spacing w:val="0"/>
          <w:sz w:val="36"/>
          <w:szCs w:val="36"/>
          <w:shd w:val="clear" w:fill="FFFFFF"/>
        </w:rPr>
        <w:t>昌区农业农村局20</w:t>
      </w:r>
      <w:r>
        <w:rPr>
          <w:rFonts w:hint="eastAsia" w:ascii="宋体" w:hAnsi="宋体" w:eastAsia="宋体" w:cs="宋体"/>
          <w:b/>
          <w:bCs/>
          <w:i w:val="0"/>
          <w:caps w:val="0"/>
          <w:color w:val="000000"/>
          <w:spacing w:val="0"/>
          <w:sz w:val="36"/>
          <w:szCs w:val="36"/>
          <w:shd w:val="clear" w:fill="FFFFFF"/>
          <w:lang w:val="en-US" w:eastAsia="zh-CN"/>
        </w:rPr>
        <w:t>20</w:t>
      </w:r>
      <w:r>
        <w:rPr>
          <w:rFonts w:hint="eastAsia" w:ascii="宋体" w:hAnsi="宋体" w:eastAsia="宋体" w:cs="宋体"/>
          <w:b/>
          <w:bCs/>
          <w:i w:val="0"/>
          <w:caps w:val="0"/>
          <w:color w:val="000000"/>
          <w:spacing w:val="0"/>
          <w:sz w:val="36"/>
          <w:szCs w:val="36"/>
          <w:shd w:val="clear" w:fill="FFFFFF"/>
        </w:rPr>
        <w:t>年政府信息公开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b w:val="0"/>
          <w:i w:val="0"/>
          <w:caps w:val="0"/>
          <w:color w:val="000000"/>
          <w:spacing w:val="0"/>
          <w:sz w:val="36"/>
          <w:szCs w:val="36"/>
        </w:rPr>
      </w:pPr>
      <w:r>
        <w:rPr>
          <w:rFonts w:hint="eastAsia" w:ascii="宋体" w:hAnsi="宋体" w:eastAsia="宋体" w:cs="宋体"/>
          <w:b/>
          <w:bCs/>
          <w:i w:val="0"/>
          <w:caps w:val="0"/>
          <w:color w:val="000000"/>
          <w:spacing w:val="0"/>
          <w:sz w:val="36"/>
          <w:szCs w:val="36"/>
          <w:shd w:val="clear" w:fill="FFFFFF"/>
        </w:rPr>
        <w:t>　　工作年度报告</w:t>
      </w:r>
      <w:r>
        <w:rPr>
          <w:rFonts w:hint="eastAsia" w:ascii="宋体" w:hAnsi="宋体" w:eastAsia="宋体" w:cs="宋体"/>
          <w:b w:val="0"/>
          <w:i w:val="0"/>
          <w:caps w:val="0"/>
          <w:color w:val="000000"/>
          <w:spacing w:val="0"/>
          <w:sz w:val="36"/>
          <w:szCs w:val="36"/>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jc w:val="both"/>
        <w:rPr>
          <w:rFonts w:hint="eastAsia" w:ascii="宋体" w:hAnsi="宋体" w:eastAsia="宋体" w:cs="宋体"/>
          <w:b w:val="0"/>
          <w:bCs w:val="0"/>
          <w:i w:val="0"/>
          <w:caps w:val="0"/>
          <w:color w:val="000000"/>
          <w:spacing w:val="0"/>
          <w:sz w:val="24"/>
          <w:szCs w:val="24"/>
          <w:shd w:val="clear" w:fill="FFFFFF"/>
          <w:lang w:eastAsia="zh-CN"/>
        </w:rPr>
      </w:pPr>
      <w:r>
        <w:rPr>
          <w:rFonts w:hint="eastAsia" w:ascii="宋体" w:hAnsi="宋体" w:eastAsia="宋体" w:cs="宋体"/>
          <w:b w:val="0"/>
          <w:bCs w:val="0"/>
          <w:i w:val="0"/>
          <w:caps w:val="0"/>
          <w:color w:val="000000"/>
          <w:spacing w:val="0"/>
          <w:sz w:val="24"/>
          <w:szCs w:val="24"/>
          <w:shd w:val="clear" w:fill="FFFFFF"/>
        </w:rPr>
        <w:t>本报告由“总体情况”“主动公开政府信息情况”“收到和处理政府信息公开申请情况”“政府信息公开行政复议、行政诉讼情况”“存在的主要问题及改进情况”“其他需要报告的事项”六个部分组成。所列数据截止日期为20</w:t>
      </w:r>
      <w:r>
        <w:rPr>
          <w:rFonts w:hint="eastAsia" w:ascii="宋体" w:hAnsi="宋体" w:eastAsia="宋体" w:cs="宋体"/>
          <w:b w:val="0"/>
          <w:bCs w:val="0"/>
          <w:i w:val="0"/>
          <w:caps w:val="0"/>
          <w:color w:val="000000"/>
          <w:spacing w:val="0"/>
          <w:sz w:val="24"/>
          <w:szCs w:val="24"/>
          <w:shd w:val="clear" w:fill="FFFFFF"/>
          <w:lang w:val="en-US" w:eastAsia="zh-CN"/>
        </w:rPr>
        <w:t>20</w:t>
      </w:r>
      <w:r>
        <w:rPr>
          <w:rFonts w:hint="eastAsia" w:ascii="宋体" w:hAnsi="宋体" w:eastAsia="宋体" w:cs="宋体"/>
          <w:b w:val="0"/>
          <w:bCs w:val="0"/>
          <w:i w:val="0"/>
          <w:caps w:val="0"/>
          <w:color w:val="000000"/>
          <w:spacing w:val="0"/>
          <w:sz w:val="24"/>
          <w:szCs w:val="24"/>
          <w:shd w:val="clear" w:fill="FFFFFF"/>
        </w:rPr>
        <w:t>年12月31日</w:t>
      </w:r>
      <w:r>
        <w:rPr>
          <w:rFonts w:hint="eastAsia" w:ascii="宋体" w:hAnsi="宋体" w:eastAsia="宋体" w:cs="宋体"/>
          <w:b w:val="0"/>
          <w:bCs w:val="0"/>
          <w:i w:val="0"/>
          <w:caps w:val="0"/>
          <w:color w:val="000000"/>
          <w:spacing w:val="0"/>
          <w:sz w:val="24"/>
          <w:szCs w:val="24"/>
          <w:shd w:val="clear" w:fill="FFFFFF"/>
          <w:lang w:eastAsia="zh-CN"/>
        </w:rPr>
        <w:t>，</w:t>
      </w:r>
      <w:r>
        <w:rPr>
          <w:rFonts w:hint="eastAsia" w:ascii="宋体" w:hAnsi="宋体" w:eastAsia="宋体" w:cs="宋体"/>
          <w:b w:val="0"/>
          <w:bCs w:val="0"/>
          <w:i w:val="0"/>
          <w:caps w:val="0"/>
          <w:color w:val="000000"/>
          <w:spacing w:val="0"/>
          <w:sz w:val="24"/>
          <w:szCs w:val="24"/>
          <w:shd w:val="clear" w:fill="FFFFFF"/>
        </w:rPr>
        <w:t>电子版可在:http://xxgk.dc.gov.cn/zfgz6/nyncj/xbxxgkml_14581/</w:t>
      </w:r>
      <w:r>
        <w:rPr>
          <w:rFonts w:hint="eastAsia" w:ascii="宋体" w:hAnsi="宋体" w:eastAsia="宋体" w:cs="宋体"/>
          <w:b w:val="0"/>
          <w:bCs w:val="0"/>
          <w:i w:val="0"/>
          <w:caps w:val="0"/>
          <w:color w:val="000000"/>
          <w:spacing w:val="0"/>
          <w:sz w:val="24"/>
          <w:szCs w:val="24"/>
          <w:shd w:val="clear" w:fill="FFFFFF"/>
          <w:lang w:eastAsia="zh-CN"/>
        </w:rPr>
        <w:t>下载。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jc w:val="both"/>
        <w:rPr>
          <w:rFonts w:hint="eastAsia" w:ascii="宋体" w:hAnsi="宋体" w:eastAsia="宋体" w:cs="宋体"/>
          <w:b/>
          <w:bCs/>
          <w:i w:val="0"/>
          <w:caps w:val="0"/>
          <w:color w:val="000000"/>
          <w:spacing w:val="0"/>
          <w:sz w:val="24"/>
          <w:szCs w:val="24"/>
        </w:rPr>
      </w:pPr>
      <w:r>
        <w:rPr>
          <w:rFonts w:hint="eastAsia" w:ascii="宋体" w:hAnsi="宋体" w:eastAsia="宋体" w:cs="宋体"/>
          <w:b w:val="0"/>
          <w:bCs w:val="0"/>
          <w:i w:val="0"/>
          <w:caps w:val="0"/>
          <w:color w:val="000000"/>
          <w:spacing w:val="0"/>
          <w:sz w:val="24"/>
          <w:szCs w:val="24"/>
          <w:shd w:val="clear" w:fill="FFFFFF"/>
        </w:rPr>
        <w:t>如对本年度报告有任何疑问，请与通化市东昌区农业农村局政府信息公开领导小组办公室联系（通化市东昌区农业农村局联系方式：电话：0435-</w:t>
      </w:r>
      <w:r>
        <w:rPr>
          <w:rFonts w:hint="eastAsia" w:ascii="宋体" w:hAnsi="宋体" w:eastAsia="宋体" w:cs="宋体"/>
          <w:b w:val="0"/>
          <w:bCs w:val="0"/>
          <w:i w:val="0"/>
          <w:caps w:val="0"/>
          <w:color w:val="000000"/>
          <w:spacing w:val="0"/>
          <w:sz w:val="24"/>
          <w:szCs w:val="24"/>
          <w:shd w:val="clear" w:fill="FFFFFF"/>
          <w:lang w:val="en-US" w:eastAsia="zh-CN"/>
        </w:rPr>
        <w:t>3269119</w:t>
      </w:r>
      <w:r>
        <w:rPr>
          <w:rFonts w:hint="eastAsia" w:ascii="宋体" w:hAnsi="宋体" w:eastAsia="宋体" w:cs="宋体"/>
          <w:b w:val="0"/>
          <w:bCs w:val="0"/>
          <w:i w:val="0"/>
          <w:caps w:val="0"/>
          <w:color w:val="000000"/>
          <w:spacing w:val="0"/>
          <w:sz w:val="24"/>
          <w:szCs w:val="24"/>
          <w:shd w:val="clear" w:fill="FFFFFF"/>
        </w:rPr>
        <w:t xml:space="preserve">，电子信箱：nyjxzglk@163.com </w:t>
      </w:r>
      <w:r>
        <w:rPr>
          <w:rFonts w:hint="eastAsia" w:ascii="宋体" w:hAnsi="宋体" w:eastAsia="宋体" w:cs="宋体"/>
          <w:b w:val="0"/>
          <w:bCs w:val="0"/>
          <w:i w:val="0"/>
          <w:caps w:val="0"/>
          <w:color w:val="000000"/>
          <w:spacing w:val="0"/>
          <w:sz w:val="24"/>
          <w:szCs w:val="24"/>
          <w:shd w:val="clear" w:fill="FFFFFF"/>
          <w:lang w:eastAsia="zh-CN"/>
        </w:rPr>
        <w:t>，</w:t>
      </w:r>
      <w:r>
        <w:rPr>
          <w:rFonts w:hint="eastAsia" w:ascii="宋体" w:hAnsi="宋体" w:eastAsia="宋体" w:cs="宋体"/>
          <w:b w:val="0"/>
          <w:bCs w:val="0"/>
          <w:i w:val="0"/>
          <w:caps w:val="0"/>
          <w:color w:val="000000"/>
          <w:spacing w:val="0"/>
          <w:sz w:val="24"/>
          <w:szCs w:val="24"/>
          <w:shd w:val="clear" w:fill="FFFFFF"/>
        </w:rPr>
        <w:t>邮编：134001，地址：通化市东昌区江畅路269号。</w:t>
      </w:r>
      <w:r>
        <w:rPr>
          <w:rFonts w:hint="eastAsia" w:ascii="宋体" w:hAnsi="宋体" w:eastAsia="宋体" w:cs="宋体"/>
          <w:b w:val="0"/>
          <w:bCs w:val="0"/>
          <w:i w:val="0"/>
          <w:caps w:val="0"/>
          <w:color w:val="000000"/>
          <w:spacing w:val="0"/>
          <w:sz w:val="24"/>
          <w:szCs w:val="24"/>
          <w:shd w:val="clear" w:fill="FFFFFF"/>
          <w:lang w:eastAsia="zh-CN"/>
        </w:rPr>
        <w:t>）</w:t>
      </w:r>
      <w:r>
        <w:rPr>
          <w:rFonts w:hint="eastAsia" w:ascii="宋体" w:hAnsi="宋体" w:eastAsia="宋体" w:cs="宋体"/>
          <w:b/>
          <w:bCs/>
          <w:i w:val="0"/>
          <w:caps w:val="0"/>
          <w:color w:val="000000"/>
          <w:spacing w:val="0"/>
          <w:sz w:val="24"/>
          <w:szCs w:val="24"/>
          <w:shd w:val="clear" w:fill="FFFFFF"/>
        </w:rPr>
        <w:t> </w:t>
      </w:r>
    </w:p>
    <w:p>
      <w:pPr>
        <w:widowControl/>
        <w:shd w:val="clear" w:color="auto" w:fill="FFFFFF"/>
        <w:ind w:firstLine="482" w:firstLineChars="200"/>
        <w:rPr>
          <w:rFonts w:ascii="宋体" w:hAnsi="宋体" w:eastAsia="宋体" w:cs="宋体"/>
          <w:b/>
          <w:bCs/>
          <w:color w:val="333333"/>
          <w:kern w:val="0"/>
          <w:sz w:val="24"/>
          <w:szCs w:val="24"/>
        </w:rPr>
      </w:pPr>
      <w:r>
        <w:rPr>
          <w:rFonts w:hint="eastAsia" w:ascii="宋体" w:hAnsi="宋体" w:eastAsia="宋体" w:cs="宋体"/>
          <w:b/>
          <w:bCs/>
          <w:color w:val="333333"/>
          <w:kern w:val="0"/>
          <w:sz w:val="24"/>
          <w:szCs w:val="24"/>
        </w:rPr>
        <w:t>一、总体情况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宋体" w:hAnsi="宋体" w:eastAsia="宋体" w:cs="宋体"/>
          <w:b w:val="0"/>
          <w:bCs w:val="0"/>
          <w:i w:val="0"/>
          <w:caps w:val="0"/>
          <w:color w:val="000000"/>
          <w:spacing w:val="0"/>
          <w:sz w:val="24"/>
          <w:szCs w:val="24"/>
        </w:rPr>
      </w:pPr>
      <w:r>
        <w:rPr>
          <w:rFonts w:hint="eastAsia" w:ascii="宋体" w:hAnsi="宋体" w:eastAsia="宋体" w:cs="宋体"/>
          <w:b/>
          <w:bCs/>
          <w:i w:val="0"/>
          <w:caps w:val="0"/>
          <w:color w:val="000000"/>
          <w:spacing w:val="0"/>
          <w:sz w:val="24"/>
          <w:szCs w:val="24"/>
          <w:shd w:val="clear" w:fill="FFFFFF"/>
        </w:rPr>
        <w:t>　</w:t>
      </w:r>
      <w:r>
        <w:rPr>
          <w:rFonts w:hint="eastAsia" w:ascii="宋体" w:hAnsi="宋体" w:eastAsia="宋体" w:cs="宋体"/>
          <w:b/>
          <w:bCs/>
          <w:i w:val="0"/>
          <w:caps w:val="0"/>
          <w:color w:val="000000"/>
          <w:spacing w:val="0"/>
          <w:sz w:val="24"/>
          <w:szCs w:val="24"/>
          <w:shd w:val="clear" w:fill="FFFFFF"/>
          <w:lang w:val="en-US" w:eastAsia="zh-CN"/>
        </w:rPr>
        <w:t xml:space="preserve">   </w:t>
      </w:r>
      <w:r>
        <w:rPr>
          <w:rFonts w:hint="eastAsia" w:ascii="宋体" w:hAnsi="宋体" w:eastAsia="宋体" w:cs="宋体"/>
          <w:b w:val="0"/>
          <w:bCs w:val="0"/>
          <w:i w:val="0"/>
          <w:caps w:val="0"/>
          <w:color w:val="000000"/>
          <w:spacing w:val="0"/>
          <w:sz w:val="24"/>
          <w:szCs w:val="24"/>
          <w:shd w:val="clear" w:fill="FFFFFF"/>
        </w:rPr>
        <w:t>20</w:t>
      </w:r>
      <w:r>
        <w:rPr>
          <w:rFonts w:hint="eastAsia" w:ascii="宋体" w:hAnsi="宋体" w:eastAsia="宋体" w:cs="宋体"/>
          <w:b w:val="0"/>
          <w:bCs w:val="0"/>
          <w:i w:val="0"/>
          <w:caps w:val="0"/>
          <w:color w:val="000000"/>
          <w:spacing w:val="0"/>
          <w:sz w:val="24"/>
          <w:szCs w:val="24"/>
          <w:shd w:val="clear" w:fill="FFFFFF"/>
          <w:lang w:val="en-US" w:eastAsia="zh-CN"/>
        </w:rPr>
        <w:t>20</w:t>
      </w:r>
      <w:r>
        <w:rPr>
          <w:rFonts w:hint="eastAsia" w:ascii="宋体" w:hAnsi="宋体" w:eastAsia="宋体" w:cs="宋体"/>
          <w:b w:val="0"/>
          <w:bCs w:val="0"/>
          <w:i w:val="0"/>
          <w:caps w:val="0"/>
          <w:color w:val="000000"/>
          <w:spacing w:val="0"/>
          <w:sz w:val="24"/>
          <w:szCs w:val="24"/>
          <w:shd w:val="clear" w:fill="FFFFFF"/>
        </w:rPr>
        <w:t>年，我局认真贯彻落实《中华人民共和国政府信息公开条例》和区政数局统一部署，不断健全完善政务信息公开工作制度，扎实做好政务信息公开工作，切实保障人民群众的知情权、参与权、监督权和表达权。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both"/>
        <w:rPr>
          <w:rFonts w:hint="eastAsia" w:ascii="宋体" w:hAnsi="宋体" w:eastAsia="宋体" w:cs="宋体"/>
          <w:b/>
          <w:bCs/>
          <w:i w:val="0"/>
          <w:caps w:val="0"/>
          <w:color w:val="000000"/>
          <w:spacing w:val="0"/>
          <w:sz w:val="24"/>
          <w:szCs w:val="24"/>
          <w:shd w:val="clear" w:fill="FFFFFF"/>
        </w:rPr>
      </w:pPr>
      <w:r>
        <w:rPr>
          <w:rFonts w:hint="eastAsia" w:ascii="宋体" w:hAnsi="宋体" w:eastAsia="宋体" w:cs="宋体"/>
          <w:b w:val="0"/>
          <w:bCs w:val="0"/>
          <w:i w:val="0"/>
          <w:caps w:val="0"/>
          <w:color w:val="000000"/>
          <w:spacing w:val="0"/>
          <w:sz w:val="24"/>
          <w:szCs w:val="24"/>
          <w:shd w:val="clear" w:fill="FFFFFF"/>
        </w:rPr>
        <w:t>建立健全政务信息公开工作机制。一是强化组织领导。成立了以局长张志宏为组长，副局长王猛、王秋</w:t>
      </w:r>
      <w:r>
        <w:rPr>
          <w:rFonts w:hint="eastAsia" w:ascii="宋体" w:hAnsi="宋体" w:eastAsia="宋体" w:cs="宋体"/>
          <w:b w:val="0"/>
          <w:bCs w:val="0"/>
          <w:i w:val="0"/>
          <w:caps w:val="0"/>
          <w:color w:val="000000"/>
          <w:spacing w:val="0"/>
          <w:sz w:val="24"/>
          <w:szCs w:val="24"/>
          <w:shd w:val="clear" w:fill="FFFFFF"/>
          <w:lang w:eastAsia="zh-CN"/>
        </w:rPr>
        <w:t>媛</w:t>
      </w:r>
      <w:r>
        <w:rPr>
          <w:rFonts w:hint="eastAsia" w:ascii="宋体" w:hAnsi="宋体" w:eastAsia="宋体" w:cs="宋体"/>
          <w:b w:val="0"/>
          <w:bCs w:val="0"/>
          <w:i w:val="0"/>
          <w:caps w:val="0"/>
          <w:color w:val="000000"/>
          <w:spacing w:val="0"/>
          <w:sz w:val="24"/>
          <w:szCs w:val="24"/>
          <w:shd w:val="clear" w:fill="FFFFFF"/>
        </w:rPr>
        <w:t>任副组长，各科室主要负责人为成员的信息化工作领导小组，并指定了专人负责此项工作。二是建立健全信息公开工作制度。依据《中华人民共和国政府信息公开条例》和区政数局要求，出台政务信息公开保密和审查制度，严格区分主动公开、依申请公开、不予公开工作信息。三是完善政务信息公开指南和目录。本着高效、快捷、便民的原则，及时完善政务信息公开指南和目录，对主动公开的信息范围（目录）、内容、查询方法以及对申请公开的步骤、处理程序等作了明确规定。四是加强政务信息公开载体建设。利用网站政务公开栏主动公开相关文件，公民、法人和其他组织均可登陆网站，按照标题、文号等方式进行查询。</w:t>
      </w:r>
      <w:r>
        <w:rPr>
          <w:rFonts w:hint="eastAsia" w:ascii="宋体" w:hAnsi="宋体" w:eastAsia="宋体" w:cs="宋体"/>
          <w:b/>
          <w:bCs/>
          <w:i w:val="0"/>
          <w:caps w:val="0"/>
          <w:color w:val="000000"/>
          <w:spacing w:val="0"/>
          <w:sz w:val="24"/>
          <w:szCs w:val="24"/>
          <w:shd w:val="clear" w:fill="FFFFFF"/>
        </w:rPr>
        <w:t> </w:t>
      </w:r>
    </w:p>
    <w:p>
      <w:pPr>
        <w:widowControl/>
        <w:shd w:val="clear" w:color="auto" w:fill="FFFFFF"/>
        <w:spacing w:after="240"/>
        <w:ind w:firstLine="482" w:firstLineChars="20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二、主动公开政府信息情况</w:t>
      </w:r>
    </w:p>
    <w:tbl>
      <w:tblPr>
        <w:tblStyle w:val="4"/>
        <w:tblW w:w="8140" w:type="dxa"/>
        <w:jc w:val="center"/>
        <w:tblLayout w:type="autofit"/>
        <w:tblCellMar>
          <w:top w:w="0" w:type="dxa"/>
          <w:left w:w="0" w:type="dxa"/>
          <w:bottom w:w="0" w:type="dxa"/>
          <w:right w:w="0" w:type="dxa"/>
        </w:tblCellMar>
      </w:tblPr>
      <w:tblGrid>
        <w:gridCol w:w="3113"/>
        <w:gridCol w:w="1875"/>
        <w:gridCol w:w="1271"/>
        <w:gridCol w:w="1881"/>
      </w:tblGrid>
      <w:tr>
        <w:tblPrEx>
          <w:tblCellMar>
            <w:top w:w="0" w:type="dxa"/>
            <w:left w:w="0" w:type="dxa"/>
            <w:bottom w:w="0" w:type="dxa"/>
            <w:right w:w="0" w:type="dxa"/>
          </w:tblCellMar>
        </w:tblPrEx>
        <w:trPr>
          <w:trHeight w:val="495" w:hRule="atLeast"/>
          <w:jc w:val="center"/>
        </w:trPr>
        <w:tc>
          <w:tcPr>
            <w:tcW w:w="8140"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kern w:val="0"/>
                <w:sz w:val="20"/>
                <w:szCs w:val="20"/>
              </w:rPr>
              <w:t>制作数量</w:t>
            </w:r>
          </w:p>
        </w:tc>
        <w:tc>
          <w:tcPr>
            <w:tcW w:w="127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kern w:val="0"/>
                <w:sz w:val="20"/>
                <w:szCs w:val="20"/>
              </w:rPr>
              <w:t>公开数量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对外公开总数量</w:t>
            </w:r>
          </w:p>
        </w:tc>
      </w:tr>
      <w:tr>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12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规范性文件</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181</w:t>
            </w:r>
          </w:p>
        </w:tc>
        <w:tc>
          <w:tcPr>
            <w:tcW w:w="12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4</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4</w:t>
            </w:r>
          </w:p>
        </w:tc>
      </w:tr>
      <w:tr>
        <w:tblPrEx>
          <w:tblCellMar>
            <w:top w:w="0" w:type="dxa"/>
            <w:left w:w="0" w:type="dxa"/>
            <w:bottom w:w="0" w:type="dxa"/>
            <w:right w:w="0" w:type="dxa"/>
          </w:tblCellMar>
        </w:tblPrEx>
        <w:trPr>
          <w:trHeight w:val="480"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127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处理决定数量</w:t>
            </w:r>
          </w:p>
        </w:tc>
      </w:tr>
      <w:tr>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486</w:t>
            </w:r>
          </w:p>
        </w:tc>
        <w:tc>
          <w:tcPr>
            <w:tcW w:w="127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1429</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1915</w:t>
            </w:r>
          </w:p>
        </w:tc>
      </w:tr>
      <w:tr>
        <w:tblPrEx>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其他对外管理服务事项</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rPr>
            </w:pPr>
            <w:r>
              <w:rPr>
                <w:rFonts w:hint="eastAsia" w:ascii="宋体" w:hAnsi="宋体" w:eastAsia="宋体" w:cs="宋体"/>
                <w:kern w:val="0"/>
                <w:sz w:val="20"/>
                <w:szCs w:val="20"/>
                <w:lang w:val="en-US" w:eastAsia="zh-CN"/>
              </w:rPr>
              <w:t>173</w:t>
            </w:r>
          </w:p>
        </w:tc>
        <w:tc>
          <w:tcPr>
            <w:tcW w:w="127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127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rPr>
            </w:pPr>
            <w:r>
              <w:rPr>
                <w:rFonts w:hint="eastAsia" w:ascii="宋体" w:hAnsi="宋体" w:eastAsia="宋体" w:cs="宋体"/>
                <w:kern w:val="0"/>
                <w:sz w:val="20"/>
                <w:szCs w:val="20"/>
                <w:lang w:val="en-US" w:eastAsia="zh-CN"/>
              </w:rPr>
              <w:t>27</w:t>
            </w:r>
          </w:p>
        </w:tc>
        <w:tc>
          <w:tcPr>
            <w:tcW w:w="127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4</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4</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127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4"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3152"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3152"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第二十条第（九）项</w:t>
            </w:r>
          </w:p>
        </w:tc>
      </w:tr>
      <w:tr>
        <w:tblPrEx>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采购项目数量</w:t>
            </w:r>
          </w:p>
        </w:tc>
        <w:tc>
          <w:tcPr>
            <w:tcW w:w="3152"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采购总金额</w:t>
            </w:r>
          </w:p>
        </w:tc>
      </w:tr>
      <w:tr>
        <w:tblPrEx>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政府集中采购</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3152"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r>
      <w:tr>
        <w:tblPrEx>
          <w:tblCellMar>
            <w:top w:w="0" w:type="dxa"/>
            <w:left w:w="0" w:type="dxa"/>
            <w:bottom w:w="0" w:type="dxa"/>
            <w:right w:w="0" w:type="dxa"/>
          </w:tblCellMar>
        </w:tblPrEx>
        <w:trPr>
          <w:trHeight w:val="539" w:hRule="atLeast"/>
          <w:jc w:val="center"/>
        </w:trPr>
        <w:tc>
          <w:tcPr>
            <w:tcW w:w="8140" w:type="dxa"/>
            <w:gridSpan w:val="4"/>
            <w:tcBorders>
              <w:top w:val="nil"/>
              <w:left w:val="single" w:color="auto" w:sz="8" w:space="0"/>
              <w:bottom w:val="single" w:color="auto" w:sz="8" w:space="0"/>
              <w:right w:val="single" w:color="000000" w:sz="8" w:space="0"/>
            </w:tcBorders>
            <w:noWrap/>
            <w:tcMar>
              <w:top w:w="0" w:type="dxa"/>
              <w:left w:w="108" w:type="dxa"/>
              <w:bottom w:w="0" w:type="dxa"/>
              <w:right w:w="108" w:type="dxa"/>
            </w:tcMar>
            <w:vAlign w:val="center"/>
          </w:tcPr>
          <w:p>
            <w:pPr>
              <w:widowControl/>
              <w:jc w:val="left"/>
              <w:rPr>
                <w:rFonts w:ascii="宋体" w:hAnsi="宋体" w:eastAsia="宋体" w:cs="宋体"/>
                <w:kern w:val="0"/>
                <w:sz w:val="18"/>
                <w:szCs w:val="18"/>
              </w:rPr>
            </w:pPr>
            <w:r>
              <w:rPr>
                <w:rFonts w:hint="eastAsia" w:ascii="宋体" w:hAnsi="宋体" w:eastAsia="宋体" w:cs="宋体"/>
                <w:color w:val="000000"/>
                <w:kern w:val="0"/>
                <w:sz w:val="18"/>
                <w:szCs w:val="18"/>
              </w:rPr>
              <w:t>2020年本行政区域（或本部门）政府信息公开发布总数量（非新闻类、消息类）：</w:t>
            </w:r>
          </w:p>
        </w:tc>
      </w:tr>
    </w:tbl>
    <w:p>
      <w:pPr>
        <w:widowControl/>
        <w:shd w:val="clear" w:color="auto" w:fill="FFFFFF"/>
        <w:ind w:firstLine="480"/>
        <w:rPr>
          <w:rFonts w:ascii="宋体" w:hAnsi="宋体" w:eastAsia="宋体" w:cs="宋体"/>
          <w:color w:val="333333"/>
          <w:kern w:val="0"/>
          <w:sz w:val="24"/>
          <w:szCs w:val="24"/>
        </w:rPr>
      </w:pPr>
    </w:p>
    <w:p>
      <w:pPr>
        <w:widowControl/>
        <w:shd w:val="clear" w:color="auto" w:fill="FFFFFF"/>
        <w:spacing w:after="240"/>
        <w:ind w:firstLine="482" w:firstLineChars="20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三、收到和处理政府信息公开申请情况</w:t>
      </w:r>
    </w:p>
    <w:tbl>
      <w:tblPr>
        <w:tblStyle w:val="4"/>
        <w:tblW w:w="9071" w:type="dxa"/>
        <w:jc w:val="center"/>
        <w:tblLayout w:type="autofit"/>
        <w:tblCellMar>
          <w:top w:w="0" w:type="dxa"/>
          <w:left w:w="0" w:type="dxa"/>
          <w:bottom w:w="0" w:type="dxa"/>
          <w:right w:w="0" w:type="dxa"/>
        </w:tblCellMar>
      </w:tblPr>
      <w:tblGrid>
        <w:gridCol w:w="617"/>
        <w:gridCol w:w="854"/>
        <w:gridCol w:w="2358"/>
        <w:gridCol w:w="708"/>
        <w:gridCol w:w="709"/>
        <w:gridCol w:w="634"/>
        <w:gridCol w:w="925"/>
        <w:gridCol w:w="993"/>
        <w:gridCol w:w="708"/>
        <w:gridCol w:w="565"/>
      </w:tblGrid>
      <w:tr>
        <w:tblPrEx>
          <w:tblCellMar>
            <w:top w:w="0" w:type="dxa"/>
            <w:left w:w="0" w:type="dxa"/>
            <w:bottom w:w="0" w:type="dxa"/>
            <w:right w:w="0" w:type="dxa"/>
          </w:tblCellMar>
        </w:tblPrEx>
        <w:trPr>
          <w:jc w:val="center"/>
        </w:trPr>
        <w:tc>
          <w:tcPr>
            <w:tcW w:w="3829"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（本列数据的勾稽关系为：第一项加第二项之和，等于第三项加第四项之和）</w:t>
            </w:r>
          </w:p>
        </w:tc>
        <w:tc>
          <w:tcPr>
            <w:tcW w:w="5242"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CellMar>
            <w:top w:w="0" w:type="dxa"/>
            <w:left w:w="0" w:type="dxa"/>
            <w:bottom w:w="0" w:type="dxa"/>
            <w:right w:w="0" w:type="dxa"/>
          </w:tblCellMar>
        </w:tblPrEx>
        <w:trPr>
          <w:jc w:val="center"/>
        </w:trPr>
        <w:tc>
          <w:tcPr>
            <w:tcW w:w="3829"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08"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3969"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565"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jc w:val="center"/>
        </w:trPr>
        <w:tc>
          <w:tcPr>
            <w:tcW w:w="3829"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科研机构</w:t>
            </w:r>
          </w:p>
        </w:tc>
        <w:tc>
          <w:tcPr>
            <w:tcW w:w="92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9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70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565"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68" w:hRule="atLeast"/>
          <w:jc w:val="center"/>
        </w:trPr>
        <w:tc>
          <w:tcPr>
            <w:tcW w:w="382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431" w:hRule="atLeast"/>
          <w:jc w:val="center"/>
        </w:trPr>
        <w:tc>
          <w:tcPr>
            <w:tcW w:w="382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383" w:hRule="atLeast"/>
          <w:jc w:val="center"/>
        </w:trPr>
        <w:tc>
          <w:tcPr>
            <w:tcW w:w="61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321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（一）予以公开</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5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21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（二）部分公开（区分处理的，只计这一情形，不计其他情形）</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469"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（三）不予公开</w:t>
            </w: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1.属于国家秘密</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5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2.其他法律行政法规禁止公开</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3.危及“三安全一稳定”</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4.保护第三方合法权益</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5.属于三类内部事务信息</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52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6.属于四类过程性信息</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7.属于行政执法案卷</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8.属于行政查询事项</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（四）无法提供</w:t>
            </w: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1.本机关不掌握相关政府信息</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2.没有现成信息需要另行制作</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3.补正后申请内容仍不明确</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44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（五）不予处理</w:t>
            </w: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1.信访举报投诉类申请</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409"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2.重复申请</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0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3.要求提供公开出版物</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4.无正当理由大量反复申请</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5.要求行政机关确认或重新出具已获取信息</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38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21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（六）其他处理</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trHeight w:val="41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21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（七）总计</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r>
      <w:tr>
        <w:tblPrEx>
          <w:tblCellMar>
            <w:top w:w="0" w:type="dxa"/>
            <w:left w:w="0" w:type="dxa"/>
            <w:bottom w:w="0" w:type="dxa"/>
            <w:right w:w="0" w:type="dxa"/>
          </w:tblCellMar>
        </w:tblPrEx>
        <w:trPr>
          <w:trHeight w:val="408" w:hRule="atLeast"/>
          <w:jc w:val="center"/>
        </w:trPr>
        <w:tc>
          <w:tcPr>
            <w:tcW w:w="382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pPr>
        <w:widowControl/>
        <w:shd w:val="clear" w:color="auto" w:fill="FFFFFF"/>
        <w:ind w:firstLine="480"/>
        <w:rPr>
          <w:rFonts w:ascii="宋体" w:hAnsi="宋体" w:eastAsia="宋体" w:cs="宋体"/>
          <w:color w:val="333333"/>
          <w:kern w:val="0"/>
          <w:sz w:val="24"/>
          <w:szCs w:val="24"/>
        </w:rPr>
      </w:pPr>
    </w:p>
    <w:p>
      <w:pPr>
        <w:widowControl/>
        <w:shd w:val="clear" w:color="auto" w:fill="FFFFFF"/>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四、政府信息公开行政复议、行政诉讼情况</w:t>
      </w:r>
    </w:p>
    <w:p>
      <w:pPr>
        <w:widowControl/>
        <w:shd w:val="clear" w:color="auto" w:fill="FFFFFF"/>
        <w:ind w:firstLine="480"/>
        <w:rPr>
          <w:rFonts w:ascii="宋体" w:hAnsi="宋体" w:eastAsia="宋体" w:cs="宋体"/>
          <w:color w:val="333333"/>
          <w:kern w:val="0"/>
          <w:sz w:val="24"/>
          <w:szCs w:val="24"/>
        </w:rPr>
      </w:pPr>
    </w:p>
    <w:tbl>
      <w:tblPr>
        <w:tblStyle w:val="4"/>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trHeight w:val="696"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0"/>
                <w:szCs w:val="20"/>
              </w:rPr>
              <w:t> </w:t>
            </w: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0"/>
                <w:szCs w:val="20"/>
              </w:rPr>
              <w:t> </w:t>
            </w: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0"/>
                <w:szCs w:val="20"/>
              </w:rPr>
              <w:t> </w:t>
            </w: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0"/>
                <w:szCs w:val="20"/>
              </w:rPr>
              <w:t> </w:t>
            </w: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lang w:val="en-US" w:eastAsia="zh-CN"/>
              </w:rPr>
              <w:t>0</w:t>
            </w:r>
            <w:r>
              <w:rPr>
                <w:rFonts w:hint="eastAsia" w:ascii="宋体" w:hAnsi="宋体" w:eastAsia="宋体" w:cs="宋体"/>
                <w:color w:val="000000"/>
                <w:kern w:val="0"/>
                <w:sz w:val="20"/>
                <w:szCs w:val="20"/>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lang w:val="en-US" w:eastAsia="zh-CN"/>
              </w:rPr>
              <w:t>0</w:t>
            </w:r>
            <w:r>
              <w:rPr>
                <w:rFonts w:hint="eastAsia" w:ascii="宋体" w:hAnsi="宋体" w:eastAsia="宋体" w:cs="宋体"/>
                <w:kern w:val="0"/>
                <w:sz w:val="20"/>
                <w:szCs w:val="20"/>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lang w:val="en-US" w:eastAsia="zh-CN"/>
              </w:rPr>
              <w:t>0</w:t>
            </w:r>
            <w:r>
              <w:rPr>
                <w:rFonts w:hint="eastAsia" w:ascii="宋体" w:hAnsi="宋体" w:eastAsia="宋体" w:cs="宋体"/>
                <w:kern w:val="0"/>
                <w:sz w:val="20"/>
                <w:szCs w:val="20"/>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lang w:val="en-US" w:eastAsia="zh-CN"/>
              </w:rPr>
              <w:t>0</w:t>
            </w:r>
            <w:r>
              <w:rPr>
                <w:rFonts w:hint="eastAsia" w:ascii="宋体" w:hAnsi="宋体" w:eastAsia="宋体" w:cs="宋体"/>
                <w:kern w:val="0"/>
                <w:sz w:val="20"/>
                <w:szCs w:val="20"/>
              </w:rPr>
              <w:t> </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pPr>
        <w:widowControl/>
        <w:shd w:val="clear" w:color="auto" w:fill="FFFFFF"/>
        <w:rPr>
          <w:rFonts w:hint="eastAsia" w:ascii="宋体" w:hAnsi="宋体" w:eastAsia="宋体" w:cs="宋体"/>
          <w:b/>
          <w:bCs/>
          <w:color w:val="333333"/>
          <w:kern w:val="0"/>
          <w:sz w:val="24"/>
          <w:szCs w:val="24"/>
        </w:rPr>
      </w:pPr>
      <w:bookmarkStart w:id="0" w:name="_GoBack"/>
      <w:bookmarkEnd w:id="0"/>
    </w:p>
    <w:p>
      <w:pPr>
        <w:widowControl/>
        <w:shd w:val="clear" w:color="auto" w:fill="FFFFFF"/>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五、存在的主要问题及改进情况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（一）存在问题。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left"/>
        <w:rPr>
          <w:rFonts w:hint="eastAsia" w:ascii="宋体" w:hAnsi="宋体" w:eastAsia="宋体" w:cs="宋体"/>
          <w:i w:val="0"/>
          <w:iCs w:val="0"/>
          <w:caps w:val="0"/>
          <w:color w:val="333333"/>
          <w:spacing w:val="0"/>
          <w:sz w:val="24"/>
          <w:szCs w:val="24"/>
        </w:rPr>
      </w:pPr>
      <w:r>
        <w:rPr>
          <w:rStyle w:val="6"/>
          <w:rFonts w:hint="eastAsia" w:ascii="宋体" w:hAnsi="宋体" w:eastAsia="宋体" w:cs="宋体"/>
          <w:b w:val="0"/>
          <w:bCs/>
          <w:i w:val="0"/>
          <w:iCs w:val="0"/>
          <w:caps w:val="0"/>
          <w:color w:val="333333"/>
          <w:spacing w:val="0"/>
          <w:sz w:val="24"/>
          <w:szCs w:val="24"/>
          <w:shd w:val="clear" w:fill="FFFFFF"/>
        </w:rPr>
        <w:t>一是</w:t>
      </w:r>
      <w:r>
        <w:rPr>
          <w:rFonts w:hint="eastAsia" w:ascii="宋体" w:hAnsi="宋体" w:eastAsia="宋体" w:cs="宋体"/>
          <w:i w:val="0"/>
          <w:iCs w:val="0"/>
          <w:caps w:val="0"/>
          <w:color w:val="333333"/>
          <w:spacing w:val="0"/>
          <w:sz w:val="24"/>
          <w:szCs w:val="24"/>
          <w:shd w:val="clear" w:fill="FFFFFF"/>
        </w:rPr>
        <w:t>公开信息的时效性不够强；</w:t>
      </w:r>
      <w:r>
        <w:rPr>
          <w:rStyle w:val="6"/>
          <w:rFonts w:hint="eastAsia" w:ascii="宋体" w:hAnsi="宋体" w:eastAsia="宋体" w:cs="宋体"/>
          <w:b w:val="0"/>
          <w:bCs/>
          <w:i w:val="0"/>
          <w:iCs w:val="0"/>
          <w:caps w:val="0"/>
          <w:color w:val="333333"/>
          <w:spacing w:val="0"/>
          <w:sz w:val="24"/>
          <w:szCs w:val="24"/>
          <w:shd w:val="clear" w:fill="FFFFFF"/>
        </w:rPr>
        <w:t>二是</w:t>
      </w:r>
      <w:r>
        <w:rPr>
          <w:rFonts w:hint="eastAsia" w:ascii="宋体" w:hAnsi="宋体" w:eastAsia="宋体" w:cs="宋体"/>
          <w:i w:val="0"/>
          <w:iCs w:val="0"/>
          <w:caps w:val="0"/>
          <w:color w:val="333333"/>
          <w:spacing w:val="0"/>
          <w:sz w:val="24"/>
          <w:szCs w:val="24"/>
          <w:shd w:val="clear" w:fill="FFFFFF"/>
        </w:rPr>
        <w:t>主动公开政府信息的数量还需要增加，公开的信息质量需要进一步提高；</w:t>
      </w:r>
      <w:r>
        <w:rPr>
          <w:rStyle w:val="6"/>
          <w:rFonts w:hint="eastAsia" w:ascii="宋体" w:hAnsi="宋体" w:eastAsia="宋体" w:cs="宋体"/>
          <w:b w:val="0"/>
          <w:bCs/>
          <w:i w:val="0"/>
          <w:iCs w:val="0"/>
          <w:caps w:val="0"/>
          <w:color w:val="333333"/>
          <w:spacing w:val="0"/>
          <w:sz w:val="24"/>
          <w:szCs w:val="24"/>
          <w:shd w:val="clear" w:fill="FFFFFF"/>
        </w:rPr>
        <w:t>三是</w:t>
      </w:r>
      <w:r>
        <w:rPr>
          <w:rFonts w:hint="eastAsia" w:ascii="宋体" w:hAnsi="宋体" w:eastAsia="宋体" w:cs="宋体"/>
          <w:i w:val="0"/>
          <w:iCs w:val="0"/>
          <w:caps w:val="0"/>
          <w:color w:val="333333"/>
          <w:spacing w:val="0"/>
          <w:sz w:val="24"/>
          <w:szCs w:val="24"/>
          <w:shd w:val="clear" w:fill="FFFFFF"/>
        </w:rPr>
        <w:t>宣传和引导工作需要进一步加强，提升业务</w:t>
      </w:r>
      <w:r>
        <w:rPr>
          <w:rFonts w:hint="eastAsia" w:ascii="宋体" w:hAnsi="宋体" w:eastAsia="宋体" w:cs="宋体"/>
          <w:i w:val="0"/>
          <w:iCs w:val="0"/>
          <w:caps w:val="0"/>
          <w:color w:val="333333"/>
          <w:spacing w:val="0"/>
          <w:sz w:val="24"/>
          <w:szCs w:val="24"/>
          <w:shd w:val="clear" w:fill="FFFFFF"/>
          <w:lang w:eastAsia="zh-CN"/>
        </w:rPr>
        <w:t>科</w:t>
      </w:r>
      <w:r>
        <w:rPr>
          <w:rFonts w:hint="eastAsia" w:ascii="宋体" w:hAnsi="宋体" w:eastAsia="宋体" w:cs="宋体"/>
          <w:i w:val="0"/>
          <w:iCs w:val="0"/>
          <w:caps w:val="0"/>
          <w:color w:val="333333"/>
          <w:spacing w:val="0"/>
          <w:sz w:val="24"/>
          <w:szCs w:val="24"/>
          <w:shd w:val="clear" w:fill="FFFFFF"/>
        </w:rPr>
        <w:t>室骨干对政府信息公开工作的认识程度。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（二）改进情况。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left"/>
        <w:rPr>
          <w:rFonts w:hint="eastAsia" w:ascii="宋体" w:hAnsi="宋体" w:eastAsia="宋体" w:cs="宋体"/>
          <w:i w:val="0"/>
          <w:iCs w:val="0"/>
          <w:caps w:val="0"/>
          <w:color w:val="333333"/>
          <w:spacing w:val="0"/>
          <w:sz w:val="24"/>
          <w:szCs w:val="24"/>
        </w:rPr>
      </w:pPr>
      <w:r>
        <w:rPr>
          <w:rStyle w:val="6"/>
          <w:rFonts w:hint="eastAsia" w:ascii="宋体" w:hAnsi="宋体" w:eastAsia="宋体" w:cs="宋体"/>
          <w:b w:val="0"/>
          <w:bCs/>
          <w:i w:val="0"/>
          <w:iCs w:val="0"/>
          <w:caps w:val="0"/>
          <w:color w:val="333333"/>
          <w:spacing w:val="0"/>
          <w:sz w:val="24"/>
          <w:szCs w:val="24"/>
          <w:shd w:val="clear" w:fill="FFFFFF"/>
        </w:rPr>
        <w:t>一是</w:t>
      </w:r>
      <w:r>
        <w:rPr>
          <w:rFonts w:hint="eastAsia" w:ascii="宋体" w:hAnsi="宋体" w:eastAsia="宋体" w:cs="宋体"/>
          <w:i w:val="0"/>
          <w:iCs w:val="0"/>
          <w:caps w:val="0"/>
          <w:color w:val="333333"/>
          <w:spacing w:val="0"/>
          <w:sz w:val="24"/>
          <w:szCs w:val="24"/>
          <w:shd w:val="clear" w:fill="FFFFFF"/>
        </w:rPr>
        <w:t>加强我局信息公开负责部门与各</w:t>
      </w:r>
      <w:r>
        <w:rPr>
          <w:rFonts w:hint="eastAsia" w:ascii="宋体" w:hAnsi="宋体" w:eastAsia="宋体" w:cs="宋体"/>
          <w:i w:val="0"/>
          <w:iCs w:val="0"/>
          <w:caps w:val="0"/>
          <w:color w:val="333333"/>
          <w:spacing w:val="0"/>
          <w:sz w:val="24"/>
          <w:szCs w:val="24"/>
          <w:shd w:val="clear" w:fill="FFFFFF"/>
          <w:lang w:eastAsia="zh-CN"/>
        </w:rPr>
        <w:t>科</w:t>
      </w:r>
      <w:r>
        <w:rPr>
          <w:rFonts w:hint="eastAsia" w:ascii="宋体" w:hAnsi="宋体" w:eastAsia="宋体" w:cs="宋体"/>
          <w:i w:val="0"/>
          <w:iCs w:val="0"/>
          <w:caps w:val="0"/>
          <w:color w:val="333333"/>
          <w:spacing w:val="0"/>
          <w:sz w:val="24"/>
          <w:szCs w:val="24"/>
          <w:shd w:val="clear" w:fill="FFFFFF"/>
        </w:rPr>
        <w:t>室之间联系，及时将业务部门生成的信息发布到网上，尽量做到信息生成与发布保持同步；</w:t>
      </w:r>
      <w:r>
        <w:rPr>
          <w:rStyle w:val="6"/>
          <w:rFonts w:hint="eastAsia" w:ascii="宋体" w:hAnsi="宋体" w:eastAsia="宋体" w:cs="宋体"/>
          <w:b w:val="0"/>
          <w:bCs/>
          <w:i w:val="0"/>
          <w:iCs w:val="0"/>
          <w:caps w:val="0"/>
          <w:color w:val="333333"/>
          <w:spacing w:val="0"/>
          <w:sz w:val="24"/>
          <w:szCs w:val="24"/>
          <w:shd w:val="clear" w:fill="FFFFFF"/>
        </w:rPr>
        <w:t>二是</w:t>
      </w:r>
      <w:r>
        <w:rPr>
          <w:rFonts w:hint="eastAsia" w:ascii="宋体" w:hAnsi="宋体" w:eastAsia="宋体" w:cs="宋体"/>
          <w:i w:val="0"/>
          <w:iCs w:val="0"/>
          <w:caps w:val="0"/>
          <w:color w:val="333333"/>
          <w:spacing w:val="0"/>
          <w:sz w:val="24"/>
          <w:szCs w:val="24"/>
          <w:shd w:val="clear" w:fill="FFFFFF"/>
        </w:rPr>
        <w:t>进一步解放思想，扩大信息公开的范围，除正式文件外，其他由我单位生成的对社会公众有指导或帮助意义的信息也要纳入信息公开的范畴之中予以发布；</w:t>
      </w:r>
      <w:r>
        <w:rPr>
          <w:rStyle w:val="6"/>
          <w:rFonts w:hint="eastAsia" w:ascii="宋体" w:hAnsi="宋体" w:eastAsia="宋体" w:cs="宋体"/>
          <w:b w:val="0"/>
          <w:bCs/>
          <w:i w:val="0"/>
          <w:iCs w:val="0"/>
          <w:caps w:val="0"/>
          <w:color w:val="333333"/>
          <w:spacing w:val="0"/>
          <w:sz w:val="24"/>
          <w:szCs w:val="24"/>
          <w:shd w:val="clear" w:fill="FFFFFF"/>
        </w:rPr>
        <w:t>三是</w:t>
      </w:r>
      <w:r>
        <w:rPr>
          <w:rFonts w:hint="eastAsia" w:ascii="宋体" w:hAnsi="宋体" w:eastAsia="宋体" w:cs="宋体"/>
          <w:i w:val="0"/>
          <w:iCs w:val="0"/>
          <w:caps w:val="0"/>
          <w:color w:val="333333"/>
          <w:spacing w:val="0"/>
          <w:sz w:val="24"/>
          <w:szCs w:val="24"/>
          <w:shd w:val="clear" w:fill="FFFFFF"/>
        </w:rPr>
        <w:t>加大对信息公开工作的宣传力度，使社会公众对农业农村工作有进一步的了解和更深的认识，引导公众正确使用信息公开这种新兴的政府服务职能，为自己的生活、工作提供便利；</w:t>
      </w:r>
      <w:r>
        <w:rPr>
          <w:rStyle w:val="6"/>
          <w:rFonts w:hint="eastAsia" w:ascii="宋体" w:hAnsi="宋体" w:eastAsia="宋体" w:cs="宋体"/>
          <w:b w:val="0"/>
          <w:bCs/>
          <w:i w:val="0"/>
          <w:iCs w:val="0"/>
          <w:caps w:val="0"/>
          <w:color w:val="333333"/>
          <w:spacing w:val="0"/>
          <w:sz w:val="24"/>
          <w:szCs w:val="24"/>
          <w:shd w:val="clear" w:fill="FFFFFF"/>
        </w:rPr>
        <w:t>四是</w:t>
      </w:r>
      <w:r>
        <w:rPr>
          <w:rFonts w:hint="eastAsia" w:ascii="宋体" w:hAnsi="宋体" w:eastAsia="宋体" w:cs="宋体"/>
          <w:i w:val="0"/>
          <w:iCs w:val="0"/>
          <w:caps w:val="0"/>
          <w:color w:val="333333"/>
          <w:spacing w:val="0"/>
          <w:sz w:val="24"/>
          <w:szCs w:val="24"/>
          <w:shd w:val="clear" w:fill="FFFFFF"/>
        </w:rPr>
        <w:t>注意借鉴兄弟机关单位的好做法，收集质量较高的政府信息开展内部学习，总结积累经验，提高发布信息的质量。</w:t>
      </w:r>
    </w:p>
    <w:p/>
    <w:p>
      <w:pPr>
        <w:widowControl/>
        <w:shd w:val="clear" w:color="auto" w:fill="FFFFFF"/>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六、其他需要报告的事项</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pPr>
        <w:rPr>
          <w:rFonts w:ascii="黑体" w:hAnsi="黑体" w:eastAsia="黑体"/>
          <w:sz w:val="24"/>
          <w:szCs w:val="24"/>
        </w:rPr>
      </w:pPr>
    </w:p>
    <w:p>
      <w:pPr>
        <w:rPr>
          <w:rFonts w:ascii="黑体" w:hAnsi="黑体" w:eastAsia="黑体"/>
          <w:sz w:val="24"/>
          <w:szCs w:val="24"/>
        </w:rPr>
      </w:pPr>
    </w:p>
    <w:p>
      <w:pPr>
        <w:widowControl/>
        <w:jc w:val="left"/>
        <w:rPr>
          <w:rFonts w:hint="default" w:ascii="Times New Roman" w:hAnsi="Times New Roman" w:cs="Times New Roman"/>
          <w:color w:val="000000"/>
          <w:szCs w:val="21"/>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1ODM1M2U0YmU3OTJjODIzNzM1YzA5MDc2MzcwMmIifQ=="/>
  </w:docVars>
  <w:rsids>
    <w:rsidRoot w:val="144B5FC9"/>
    <w:rsid w:val="004213EA"/>
    <w:rsid w:val="050B7837"/>
    <w:rsid w:val="09E92F75"/>
    <w:rsid w:val="0A42312A"/>
    <w:rsid w:val="10EE44EE"/>
    <w:rsid w:val="19286B86"/>
    <w:rsid w:val="1E512C52"/>
    <w:rsid w:val="1F19334C"/>
    <w:rsid w:val="1FB602D1"/>
    <w:rsid w:val="20377B0C"/>
    <w:rsid w:val="212B0F4D"/>
    <w:rsid w:val="224170A0"/>
    <w:rsid w:val="240B1993"/>
    <w:rsid w:val="26F46747"/>
    <w:rsid w:val="2809471F"/>
    <w:rsid w:val="2DAA2886"/>
    <w:rsid w:val="35F66A8A"/>
    <w:rsid w:val="398D4E82"/>
    <w:rsid w:val="409C73EB"/>
    <w:rsid w:val="41A77DC2"/>
    <w:rsid w:val="457F1F91"/>
    <w:rsid w:val="46277447"/>
    <w:rsid w:val="490D0F30"/>
    <w:rsid w:val="4A247BB8"/>
    <w:rsid w:val="4E396F4C"/>
    <w:rsid w:val="518611F7"/>
    <w:rsid w:val="51E335CB"/>
    <w:rsid w:val="57582718"/>
    <w:rsid w:val="57815B7A"/>
    <w:rsid w:val="57F31C57"/>
    <w:rsid w:val="5D7914AF"/>
    <w:rsid w:val="5F1E4152"/>
    <w:rsid w:val="5F54043C"/>
    <w:rsid w:val="629669EA"/>
    <w:rsid w:val="642768B3"/>
    <w:rsid w:val="667514EA"/>
    <w:rsid w:val="674B42D7"/>
    <w:rsid w:val="6B5C0CED"/>
    <w:rsid w:val="6F7B5355"/>
    <w:rsid w:val="70056A3E"/>
    <w:rsid w:val="73BE1CB4"/>
    <w:rsid w:val="75E51F1E"/>
    <w:rsid w:val="76101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2020-11-09T08:35:00Z</dcterms:created>
  <dc:creator>欧文</dc:creator>
  <cp:lastModifiedBy>Administrator</cp:lastModifiedBy>
  <cp:lastPrinted>2021-01-05T06:05:00Z</cp:lastPrinted>
  <dcterms:modified xsi:type="dcterms:W3CDTF">2024-12-26T02:17:50Z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KSOSaveFontToCloudKey">
    <vt:lpwstr>327696680_btnclosed</vt:lpwstr>
  </property>
  <property fmtid="{D5CDD505-2E9C-101B-9397-08002B2CF9AE}" pid="4" name="ICV">
    <vt:lpwstr>BABC3FAC55794F3EB7F75434D5B6175E_12</vt:lpwstr>
  </property>
</Properties>
</file>